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line="540" w:lineRule="exact"/>
        <w:ind w:firstLine="440" w:firstLineChars="10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关于乌鲁木齐经济技术开发区（头屯河区）</w:t>
      </w:r>
    </w:p>
    <w:p>
      <w:pPr>
        <w:pStyle w:val="8"/>
        <w:keepNext w:val="0"/>
        <w:keepLines w:val="0"/>
        <w:pageBreakBefore w:val="0"/>
        <w:kinsoku/>
        <w:wordWrap/>
        <w:overflowPunct/>
        <w:topLinePunct w:val="0"/>
        <w:autoSpaceDE/>
        <w:autoSpaceDN/>
        <w:bidi w:val="0"/>
        <w:adjustRightInd/>
        <w:snapToGrid/>
        <w:spacing w:line="540" w:lineRule="exact"/>
        <w:ind w:firstLine="440" w:firstLineChars="10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20</w:t>
      </w:r>
      <w:r>
        <w:rPr>
          <w:rFonts w:hint="default" w:ascii="Times New Roman" w:hAnsi="Times New Roman" w:eastAsia="方正小标宋_GBK" w:cs="Times New Roman"/>
          <w:color w:val="auto"/>
          <w:sz w:val="44"/>
          <w:szCs w:val="44"/>
          <w:highlight w:val="none"/>
          <w:lang w:val="en-US" w:eastAsia="zh-CN"/>
        </w:rPr>
        <w:t>2</w:t>
      </w:r>
      <w:r>
        <w:rPr>
          <w:rFonts w:hint="eastAsia" w:ascii="Times New Roman" w:hAnsi="Times New Roman" w:eastAsia="方正小标宋_GBK" w:cs="Times New Roman"/>
          <w:color w:val="auto"/>
          <w:sz w:val="44"/>
          <w:szCs w:val="44"/>
          <w:highlight w:val="none"/>
          <w:lang w:val="en-US" w:eastAsia="zh-CN"/>
        </w:rPr>
        <w:t>2</w:t>
      </w:r>
      <w:r>
        <w:rPr>
          <w:rFonts w:hint="default" w:ascii="Times New Roman" w:hAnsi="Times New Roman" w:eastAsia="方正小标宋_GBK" w:cs="Times New Roman"/>
          <w:color w:val="auto"/>
          <w:sz w:val="44"/>
          <w:szCs w:val="44"/>
          <w:highlight w:val="none"/>
        </w:rPr>
        <w:t>年度国有资产管理情况的综合报告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Cs/>
          <w:color w:val="auto"/>
          <w:sz w:val="28"/>
          <w:szCs w:val="28"/>
          <w:highlight w:val="none"/>
          <w:lang w:val="en-US" w:eastAsia="zh-CN"/>
        </w:rPr>
      </w:pPr>
      <w:r>
        <w:rPr>
          <w:rFonts w:hint="default" w:ascii="Times New Roman" w:hAnsi="Times New Roman" w:eastAsia="方正楷体_GBK" w:cs="Times New Roman"/>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按照区</w:t>
      </w:r>
      <w:r>
        <w:rPr>
          <w:rFonts w:hint="default" w:ascii="Times New Roman" w:hAnsi="Times New Roman" w:eastAsia="方正仿宋_GBK" w:cs="Times New Roman"/>
          <w:color w:val="auto"/>
          <w:sz w:val="32"/>
          <w:szCs w:val="32"/>
          <w:highlight w:val="none"/>
          <w:lang w:val="en-US" w:eastAsia="zh-CN"/>
        </w:rPr>
        <w:t>人民</w:t>
      </w:r>
      <w:r>
        <w:rPr>
          <w:rFonts w:hint="default" w:ascii="Times New Roman" w:hAnsi="Times New Roman" w:eastAsia="方正仿宋_GBK" w:cs="Times New Roman"/>
          <w:color w:val="auto"/>
          <w:sz w:val="32"/>
          <w:szCs w:val="32"/>
          <w:highlight w:val="none"/>
        </w:rPr>
        <w:t>政府向区人大常委会报告国有资产管理情况制度的要求，</w:t>
      </w:r>
      <w:r>
        <w:rPr>
          <w:rFonts w:hint="default" w:ascii="Times New Roman" w:hAnsi="Times New Roman" w:eastAsia="方正仿宋_GBK" w:cs="Times New Roman"/>
          <w:color w:val="auto"/>
          <w:sz w:val="32"/>
          <w:szCs w:val="32"/>
          <w:highlight w:val="none"/>
          <w:lang w:val="en-US" w:eastAsia="zh-CN"/>
        </w:rPr>
        <w:t>受区人民政府委托，</w:t>
      </w:r>
      <w:r>
        <w:rPr>
          <w:rFonts w:hint="default" w:ascii="Times New Roman" w:hAnsi="Times New Roman" w:eastAsia="方正仿宋_GBK" w:cs="Times New Roman"/>
          <w:color w:val="auto"/>
          <w:sz w:val="32"/>
          <w:szCs w:val="32"/>
          <w:highlight w:val="none"/>
        </w:rPr>
        <w:t>现将乌鲁木齐经济技术开发区（</w:t>
      </w:r>
      <w:r>
        <w:rPr>
          <w:rFonts w:hint="default" w:ascii="Times New Roman" w:hAnsi="Times New Roman" w:eastAsia="方正仿宋_GBK" w:cs="Times New Roman"/>
          <w:bCs/>
          <w:color w:val="auto"/>
          <w:sz w:val="32"/>
          <w:szCs w:val="32"/>
          <w:highlight w:val="none"/>
          <w:lang w:eastAsia="zh-CN"/>
        </w:rPr>
        <w:t>乌鲁木齐市</w:t>
      </w:r>
      <w:r>
        <w:rPr>
          <w:rFonts w:hint="default" w:ascii="Times New Roman" w:hAnsi="Times New Roman" w:eastAsia="方正仿宋_GBK" w:cs="Times New Roman"/>
          <w:color w:val="auto"/>
          <w:sz w:val="32"/>
          <w:szCs w:val="32"/>
          <w:highlight w:val="none"/>
        </w:rPr>
        <w:t>头屯河区）20</w:t>
      </w:r>
      <w:r>
        <w:rPr>
          <w:rFonts w:hint="default" w:ascii="Times New Roman" w:hAnsi="Times New Roman" w:eastAsia="方正仿宋_GBK" w:cs="Times New Roman"/>
          <w:color w:val="auto"/>
          <w:sz w:val="32"/>
          <w:szCs w:val="32"/>
          <w:highlight w:val="none"/>
          <w:lang w:val="en-US" w:eastAsia="zh-CN"/>
        </w:rPr>
        <w:t>2</w:t>
      </w:r>
      <w:r>
        <w:rPr>
          <w:rFonts w:hint="eastAsia"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年度国有资产管理情况报告如下。</w:t>
      </w:r>
    </w:p>
    <w:p>
      <w:pPr>
        <w:pStyle w:val="8"/>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rPr>
        <w:t>　　</w:t>
      </w:r>
      <w:r>
        <w:rPr>
          <w:rFonts w:hint="default" w:ascii="Times New Roman" w:hAnsi="Times New Roman" w:eastAsia="方正黑体_GBK" w:cs="Times New Roman"/>
          <w:color w:val="auto"/>
          <w:sz w:val="32"/>
          <w:szCs w:val="32"/>
        </w:rPr>
        <w:t>一、</w:t>
      </w:r>
      <w:r>
        <w:rPr>
          <w:rFonts w:hint="default" w:ascii="Times New Roman" w:hAnsi="Times New Roman" w:eastAsia="方正黑体_GBK" w:cs="Times New Roman"/>
          <w:color w:val="auto"/>
          <w:sz w:val="32"/>
          <w:szCs w:val="32"/>
          <w:lang w:val="en-US" w:eastAsia="zh-CN"/>
        </w:rPr>
        <w:t>全区</w:t>
      </w:r>
      <w:r>
        <w:rPr>
          <w:rFonts w:hint="default" w:ascii="Times New Roman" w:hAnsi="Times New Roman" w:eastAsia="方正黑体_GBK" w:cs="Times New Roman"/>
          <w:color w:val="auto"/>
          <w:sz w:val="32"/>
          <w:szCs w:val="32"/>
        </w:rPr>
        <w:t>国有资产</w:t>
      </w:r>
      <w:r>
        <w:rPr>
          <w:rFonts w:hint="default" w:ascii="Times New Roman" w:hAnsi="Times New Roman" w:eastAsia="方正黑体_GBK" w:cs="Times New Roman"/>
          <w:color w:val="auto"/>
          <w:sz w:val="32"/>
          <w:szCs w:val="32"/>
          <w:lang w:eastAsia="zh-CN"/>
        </w:rPr>
        <w:t>总</w:t>
      </w:r>
      <w:r>
        <w:rPr>
          <w:rFonts w:hint="default" w:ascii="Times New Roman" w:hAnsi="Times New Roman" w:eastAsia="方正黑体_GBK" w:cs="Times New Roman"/>
          <w:color w:val="auto"/>
          <w:sz w:val="32"/>
          <w:szCs w:val="32"/>
        </w:rPr>
        <w:t>体情况</w:t>
      </w:r>
    </w:p>
    <w:p>
      <w:pPr>
        <w:pStyle w:val="8"/>
        <w:keepNext w:val="0"/>
        <w:keepLines w:val="0"/>
        <w:pageBreakBefore w:val="0"/>
        <w:kinsoku/>
        <w:wordWrap/>
        <w:overflowPunct/>
        <w:topLinePunct w:val="0"/>
        <w:autoSpaceDE/>
        <w:autoSpaceDN/>
        <w:bidi w:val="0"/>
        <w:adjustRightInd/>
        <w:snapToGrid/>
        <w:spacing w:line="540" w:lineRule="exact"/>
        <w:ind w:firstLine="645"/>
        <w:textAlignment w:val="auto"/>
        <w:rPr>
          <w:rFonts w:hint="default" w:ascii="Times New Roman" w:hAnsi="Times New Roman" w:cs="Times New Roman"/>
        </w:rPr>
      </w:pPr>
      <w:r>
        <w:rPr>
          <w:rFonts w:hint="default" w:ascii="Times New Roman" w:hAnsi="Times New Roman" w:eastAsia="方正仿宋_GBK" w:cs="Times New Roman"/>
          <w:color w:val="auto"/>
          <w:sz w:val="32"/>
          <w:szCs w:val="32"/>
        </w:rPr>
        <w:t>截止20</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年12月31日，</w:t>
      </w:r>
      <w:r>
        <w:rPr>
          <w:rFonts w:hint="default" w:ascii="Times New Roman" w:hAnsi="Times New Roman" w:eastAsia="方正仿宋_GBK" w:cs="Times New Roman"/>
          <w:bCs/>
          <w:color w:val="auto"/>
          <w:sz w:val="32"/>
          <w:szCs w:val="32"/>
        </w:rPr>
        <w:t>乌鲁木齐经济技术开发区（</w:t>
      </w:r>
      <w:r>
        <w:rPr>
          <w:rFonts w:hint="default" w:ascii="Times New Roman" w:hAnsi="Times New Roman" w:eastAsia="方正仿宋_GBK" w:cs="Times New Roman"/>
          <w:bCs/>
          <w:color w:val="auto"/>
          <w:sz w:val="32"/>
          <w:szCs w:val="32"/>
          <w:lang w:eastAsia="zh-CN"/>
        </w:rPr>
        <w:t>乌鲁木齐市</w:t>
      </w:r>
      <w:r>
        <w:rPr>
          <w:rFonts w:hint="default" w:ascii="Times New Roman" w:hAnsi="Times New Roman" w:eastAsia="方正仿宋_GBK" w:cs="Times New Roman"/>
          <w:bCs/>
          <w:color w:val="auto"/>
          <w:sz w:val="32"/>
          <w:szCs w:val="32"/>
        </w:rPr>
        <w:t>头屯河区）</w:t>
      </w:r>
      <w:r>
        <w:rPr>
          <w:rFonts w:hint="default" w:ascii="Times New Roman" w:hAnsi="Times New Roman" w:eastAsia="方正仿宋_GBK" w:cs="Times New Roman"/>
          <w:color w:val="auto"/>
          <w:sz w:val="32"/>
          <w:szCs w:val="32"/>
        </w:rPr>
        <w:t>政府拥有国有资产总额</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436</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73</w:t>
      </w:r>
      <w:r>
        <w:rPr>
          <w:rFonts w:hint="default" w:ascii="Times New Roman" w:hAnsi="Times New Roman" w:eastAsia="方正仿宋_GBK" w:cs="Times New Roman"/>
          <w:color w:val="auto"/>
          <w:sz w:val="32"/>
          <w:szCs w:val="32"/>
        </w:rPr>
        <w:t>亿元</w:t>
      </w:r>
      <w:r>
        <w:rPr>
          <w:rFonts w:hint="default" w:ascii="Times New Roman" w:hAnsi="Times New Roman" w:eastAsia="方正仿宋_GBK" w:cs="Times New Roman"/>
          <w:color w:val="auto"/>
          <w:sz w:val="32"/>
          <w:szCs w:val="32"/>
          <w:lang w:eastAsia="zh-CN"/>
        </w:rPr>
        <w:t>，同比上年（下同）增长</w:t>
      </w:r>
      <w:r>
        <w:rPr>
          <w:rFonts w:hint="eastAsia" w:ascii="Times New Roman" w:hAnsi="Times New Roman" w:eastAsia="方正仿宋_GBK" w:cs="Times New Roman"/>
          <w:color w:val="auto"/>
          <w:sz w:val="32"/>
          <w:szCs w:val="32"/>
          <w:lang w:val="en-US" w:eastAsia="zh-CN"/>
        </w:rPr>
        <w:t>7.72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负债总额</w:t>
      </w:r>
      <w:r>
        <w:rPr>
          <w:rFonts w:hint="eastAsia" w:ascii="Times New Roman" w:hAnsi="Times New Roman" w:eastAsia="方正仿宋_GBK" w:cs="Times New Roman"/>
          <w:color w:val="auto"/>
          <w:sz w:val="32"/>
          <w:szCs w:val="32"/>
          <w:lang w:val="en-US" w:eastAsia="zh-CN"/>
        </w:rPr>
        <w:t>838.19</w:t>
      </w:r>
      <w:r>
        <w:rPr>
          <w:rFonts w:hint="default" w:ascii="Times New Roman" w:hAnsi="Times New Roman" w:eastAsia="方正仿宋_GBK" w:cs="Times New Roman"/>
          <w:color w:val="auto"/>
          <w:sz w:val="32"/>
          <w:szCs w:val="32"/>
        </w:rPr>
        <w:t>亿元</w:t>
      </w:r>
      <w:r>
        <w:rPr>
          <w:rFonts w:hint="default"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6.13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净资产</w:t>
      </w:r>
      <w:r>
        <w:rPr>
          <w:rFonts w:hint="eastAsia" w:ascii="Times New Roman" w:hAnsi="Times New Roman" w:eastAsia="方正仿宋_GBK" w:cs="Times New Roman"/>
          <w:color w:val="auto"/>
          <w:sz w:val="32"/>
          <w:szCs w:val="32"/>
          <w:lang w:val="en-US" w:eastAsia="zh-CN"/>
        </w:rPr>
        <w:t>598.54</w:t>
      </w:r>
      <w:r>
        <w:rPr>
          <w:rFonts w:hint="default" w:ascii="Times New Roman" w:hAnsi="Times New Roman" w:eastAsia="方正仿宋_GBK" w:cs="Times New Roman"/>
          <w:color w:val="auto"/>
          <w:sz w:val="32"/>
          <w:szCs w:val="32"/>
        </w:rPr>
        <w:t>亿元</w:t>
      </w:r>
      <w:r>
        <w:rPr>
          <w:rFonts w:hint="default" w:ascii="Times New Roman" w:hAnsi="Times New Roman" w:eastAsia="方正仿宋_GBK" w:cs="Times New Roman"/>
          <w:color w:val="auto"/>
          <w:sz w:val="32"/>
          <w:szCs w:val="32"/>
          <w:lang w:eastAsia="zh-CN"/>
        </w:rPr>
        <w:t>，增长</w:t>
      </w:r>
      <w:r>
        <w:rPr>
          <w:rFonts w:hint="eastAsia" w:ascii="Times New Roman" w:hAnsi="Times New Roman" w:eastAsia="方正仿宋_GBK" w:cs="Times New Roman"/>
          <w:color w:val="auto"/>
          <w:sz w:val="32"/>
          <w:szCs w:val="32"/>
          <w:lang w:val="en-US" w:eastAsia="zh-CN"/>
        </w:rPr>
        <w:t>10.06</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（详见表1）</w:t>
      </w:r>
    </w:p>
    <w:tbl>
      <w:tblPr>
        <w:tblStyle w:val="14"/>
        <w:tblpPr w:leftFromText="180" w:rightFromText="180" w:vertAnchor="text" w:horzAnchor="page" w:tblpX="1726" w:tblpY="627"/>
        <w:tblOverlap w:val="never"/>
        <w:tblW w:w="8700" w:type="dxa"/>
        <w:tblInd w:w="0" w:type="dxa"/>
        <w:tblLayout w:type="fixed"/>
        <w:tblCellMar>
          <w:top w:w="0" w:type="dxa"/>
          <w:left w:w="108" w:type="dxa"/>
          <w:bottom w:w="0" w:type="dxa"/>
          <w:right w:w="108" w:type="dxa"/>
        </w:tblCellMar>
      </w:tblPr>
      <w:tblGrid>
        <w:gridCol w:w="2746"/>
        <w:gridCol w:w="1479"/>
        <w:gridCol w:w="1728"/>
        <w:gridCol w:w="1221"/>
        <w:gridCol w:w="1526"/>
      </w:tblGrid>
      <w:tr>
        <w:tblPrEx>
          <w:tblLayout w:type="fixed"/>
          <w:tblCellMar>
            <w:top w:w="0" w:type="dxa"/>
            <w:left w:w="108" w:type="dxa"/>
            <w:bottom w:w="0" w:type="dxa"/>
            <w:right w:w="108" w:type="dxa"/>
          </w:tblCellMar>
        </w:tblPrEx>
        <w:trPr>
          <w:trHeight w:val="386" w:hRule="atLeast"/>
        </w:trPr>
        <w:tc>
          <w:tcPr>
            <w:tcW w:w="2746"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分类</w:t>
            </w:r>
          </w:p>
        </w:tc>
        <w:tc>
          <w:tcPr>
            <w:tcW w:w="3207"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20" w:lineRule="exact"/>
              <w:ind w:firstLine="1155" w:firstLineChars="550"/>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资产</w:t>
            </w:r>
          </w:p>
        </w:tc>
        <w:tc>
          <w:tcPr>
            <w:tcW w:w="1221"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负债</w:t>
            </w:r>
          </w:p>
        </w:tc>
        <w:tc>
          <w:tcPr>
            <w:tcW w:w="1526" w:type="dxa"/>
            <w:vMerge w:val="restart"/>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净资产</w:t>
            </w:r>
          </w:p>
        </w:tc>
      </w:tr>
      <w:tr>
        <w:tblPrEx>
          <w:tblLayout w:type="fixed"/>
          <w:tblCellMar>
            <w:top w:w="0" w:type="dxa"/>
            <w:left w:w="108" w:type="dxa"/>
            <w:bottom w:w="0" w:type="dxa"/>
            <w:right w:w="108" w:type="dxa"/>
          </w:tblCellMar>
        </w:tblPrEx>
        <w:trPr>
          <w:trHeight w:val="322" w:hRule="atLeast"/>
        </w:trPr>
        <w:tc>
          <w:tcPr>
            <w:tcW w:w="27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bCs/>
                <w:color w:val="auto"/>
                <w:kern w:val="0"/>
                <w:sz w:val="21"/>
                <w:szCs w:val="21"/>
              </w:rPr>
            </w:pPr>
          </w:p>
        </w:tc>
        <w:tc>
          <w:tcPr>
            <w:tcW w:w="1479" w:type="dxa"/>
            <w:tcBorders>
              <w:top w:val="single" w:color="auto" w:sz="4" w:space="0"/>
              <w:left w:val="nil"/>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资产总额</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占比分析（%）</w:t>
            </w: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bCs/>
                <w:color w:val="auto"/>
                <w:kern w:val="0"/>
                <w:sz w:val="21"/>
                <w:szCs w:val="21"/>
              </w:rPr>
            </w:pPr>
          </w:p>
        </w:tc>
        <w:tc>
          <w:tcPr>
            <w:tcW w:w="1526" w:type="dxa"/>
            <w:vMerge w:val="continue"/>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bCs/>
                <w:color w:val="auto"/>
                <w:kern w:val="0"/>
                <w:sz w:val="21"/>
                <w:szCs w:val="21"/>
              </w:rPr>
            </w:pPr>
          </w:p>
        </w:tc>
      </w:tr>
      <w:tr>
        <w:tblPrEx>
          <w:tblLayout w:type="fixed"/>
          <w:tblCellMar>
            <w:top w:w="0" w:type="dxa"/>
            <w:left w:w="108" w:type="dxa"/>
            <w:bottom w:w="0" w:type="dxa"/>
            <w:right w:w="108" w:type="dxa"/>
          </w:tblCellMar>
        </w:tblPrEx>
        <w:trPr>
          <w:trHeight w:val="90" w:hRule="atLeast"/>
        </w:trPr>
        <w:tc>
          <w:tcPr>
            <w:tcW w:w="2746"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合计</w:t>
            </w:r>
          </w:p>
        </w:tc>
        <w:tc>
          <w:tcPr>
            <w:tcW w:w="1479"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1436.73</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100.00</w:t>
            </w:r>
          </w:p>
        </w:tc>
        <w:tc>
          <w:tcPr>
            <w:tcW w:w="1221"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838.19</w:t>
            </w:r>
          </w:p>
        </w:tc>
        <w:tc>
          <w:tcPr>
            <w:tcW w:w="1526" w:type="dxa"/>
            <w:tcBorders>
              <w:top w:val="nil"/>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598.54</w:t>
            </w:r>
          </w:p>
        </w:tc>
      </w:tr>
      <w:tr>
        <w:tblPrEx>
          <w:tblLayout w:type="fixed"/>
          <w:tblCellMar>
            <w:top w:w="0" w:type="dxa"/>
            <w:left w:w="108" w:type="dxa"/>
            <w:bottom w:w="0" w:type="dxa"/>
            <w:right w:w="108" w:type="dxa"/>
          </w:tblCellMar>
        </w:tblPrEx>
        <w:trPr>
          <w:trHeight w:val="90" w:hRule="atLeast"/>
        </w:trPr>
        <w:tc>
          <w:tcPr>
            <w:tcW w:w="27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一、国有企业资产</w:t>
            </w:r>
          </w:p>
        </w:tc>
        <w:tc>
          <w:tcPr>
            <w:tcW w:w="147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1130.37</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78.67</w:t>
            </w:r>
          </w:p>
        </w:tc>
        <w:tc>
          <w:tcPr>
            <w:tcW w:w="12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747.79</w:t>
            </w:r>
          </w:p>
        </w:tc>
        <w:tc>
          <w:tcPr>
            <w:tcW w:w="152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382.58</w:t>
            </w:r>
          </w:p>
        </w:tc>
      </w:tr>
      <w:tr>
        <w:tblPrEx>
          <w:tblLayout w:type="fixed"/>
          <w:tblCellMar>
            <w:top w:w="0" w:type="dxa"/>
            <w:left w:w="108" w:type="dxa"/>
            <w:bottom w:w="0" w:type="dxa"/>
            <w:right w:w="108" w:type="dxa"/>
          </w:tblCellMar>
        </w:tblPrEx>
        <w:trPr>
          <w:trHeight w:val="303" w:hRule="atLeast"/>
        </w:trPr>
        <w:tc>
          <w:tcPr>
            <w:tcW w:w="27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二、金融企业国有资产</w:t>
            </w:r>
          </w:p>
        </w:tc>
        <w:tc>
          <w:tcPr>
            <w:tcW w:w="147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lang w:val="en-US" w:eastAsia="zh-CN"/>
              </w:rPr>
            </w:pPr>
            <w:r>
              <w:rPr>
                <w:rFonts w:hint="default" w:ascii="Times New Roman" w:hAnsi="Times New Roman" w:eastAsia="方正仿宋_GBK" w:cs="Times New Roman"/>
                <w:bCs/>
                <w:color w:val="auto"/>
                <w:kern w:val="0"/>
                <w:sz w:val="21"/>
                <w:szCs w:val="21"/>
                <w:lang w:val="en-US" w:eastAsia="zh-CN"/>
              </w:rPr>
              <w:t>35.23</w:t>
            </w:r>
          </w:p>
        </w:tc>
        <w:tc>
          <w:tcPr>
            <w:tcW w:w="17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lang w:val="en-US" w:eastAsia="zh-CN"/>
              </w:rPr>
            </w:pPr>
            <w:r>
              <w:rPr>
                <w:rFonts w:hint="default" w:ascii="Times New Roman" w:hAnsi="Times New Roman" w:eastAsia="方正仿宋_GBK" w:cs="Times New Roman"/>
                <w:bCs/>
                <w:color w:val="auto"/>
                <w:kern w:val="0"/>
                <w:sz w:val="21"/>
                <w:szCs w:val="21"/>
                <w:lang w:val="en-US" w:eastAsia="zh-CN"/>
              </w:rPr>
              <w:t>2.45</w:t>
            </w:r>
          </w:p>
        </w:tc>
        <w:tc>
          <w:tcPr>
            <w:tcW w:w="12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lang w:val="en-US" w:eastAsia="zh-CN"/>
              </w:rPr>
            </w:pPr>
            <w:r>
              <w:rPr>
                <w:rFonts w:hint="default" w:ascii="Times New Roman" w:hAnsi="Times New Roman" w:eastAsia="方正仿宋_GBK" w:cs="Times New Roman"/>
                <w:bCs/>
                <w:color w:val="auto"/>
                <w:kern w:val="0"/>
                <w:sz w:val="21"/>
                <w:szCs w:val="21"/>
                <w:lang w:val="en-US" w:eastAsia="zh-CN"/>
              </w:rPr>
              <w:t>1.41</w:t>
            </w:r>
          </w:p>
        </w:tc>
        <w:tc>
          <w:tcPr>
            <w:tcW w:w="152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lang w:val="en-US" w:eastAsia="zh-CN"/>
              </w:rPr>
            </w:pPr>
            <w:r>
              <w:rPr>
                <w:rFonts w:hint="default" w:ascii="Times New Roman" w:hAnsi="Times New Roman" w:eastAsia="方正仿宋_GBK" w:cs="Times New Roman"/>
                <w:bCs/>
                <w:color w:val="auto"/>
                <w:kern w:val="0"/>
                <w:sz w:val="21"/>
                <w:szCs w:val="21"/>
                <w:lang w:val="en-US" w:eastAsia="zh-CN"/>
              </w:rPr>
              <w:t>33.82</w:t>
            </w:r>
          </w:p>
        </w:tc>
      </w:tr>
      <w:tr>
        <w:tblPrEx>
          <w:tblLayout w:type="fixed"/>
          <w:tblCellMar>
            <w:top w:w="0" w:type="dxa"/>
            <w:left w:w="108" w:type="dxa"/>
            <w:bottom w:w="0" w:type="dxa"/>
            <w:right w:w="108" w:type="dxa"/>
          </w:tblCellMar>
        </w:tblPrEx>
        <w:trPr>
          <w:trHeight w:val="333" w:hRule="atLeast"/>
        </w:trPr>
        <w:tc>
          <w:tcPr>
            <w:tcW w:w="27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三、行政事业性国有资产</w:t>
            </w:r>
          </w:p>
        </w:tc>
        <w:tc>
          <w:tcPr>
            <w:tcW w:w="14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207.57</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14.45</w:t>
            </w:r>
          </w:p>
        </w:tc>
        <w:tc>
          <w:tcPr>
            <w:tcW w:w="12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88.99</w:t>
            </w:r>
          </w:p>
        </w:tc>
        <w:tc>
          <w:tcPr>
            <w:tcW w:w="1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bCs/>
                <w:color w:val="auto"/>
                <w:kern w:val="0"/>
                <w:sz w:val="21"/>
                <w:szCs w:val="21"/>
                <w:lang w:val="en-US" w:eastAsia="zh-CN"/>
              </w:rPr>
              <w:t>118.58</w:t>
            </w:r>
          </w:p>
        </w:tc>
      </w:tr>
      <w:tr>
        <w:tblPrEx>
          <w:tblLayout w:type="fixed"/>
          <w:tblCellMar>
            <w:top w:w="0" w:type="dxa"/>
            <w:left w:w="108" w:type="dxa"/>
            <w:bottom w:w="0" w:type="dxa"/>
            <w:right w:w="108" w:type="dxa"/>
          </w:tblCellMar>
        </w:tblPrEx>
        <w:trPr>
          <w:trHeight w:val="315" w:hRule="atLeast"/>
        </w:trPr>
        <w:tc>
          <w:tcPr>
            <w:tcW w:w="274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四、自然资源国有资产</w:t>
            </w:r>
          </w:p>
        </w:tc>
        <w:tc>
          <w:tcPr>
            <w:tcW w:w="147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63.56</w:t>
            </w:r>
          </w:p>
        </w:tc>
        <w:tc>
          <w:tcPr>
            <w:tcW w:w="17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4.42</w:t>
            </w:r>
          </w:p>
        </w:tc>
        <w:tc>
          <w:tcPr>
            <w:tcW w:w="122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w:t>
            </w:r>
          </w:p>
        </w:tc>
        <w:tc>
          <w:tcPr>
            <w:tcW w:w="1526"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63.56</w:t>
            </w:r>
          </w:p>
        </w:tc>
      </w:tr>
    </w:tbl>
    <w:p>
      <w:pPr>
        <w:pageBreakBefore w:val="0"/>
        <w:kinsoku/>
        <w:wordWrap/>
        <w:overflowPunct/>
        <w:topLinePunct w:val="0"/>
        <w:autoSpaceDE/>
        <w:autoSpaceDN/>
        <w:bidi w:val="0"/>
        <w:spacing w:line="560" w:lineRule="exact"/>
        <w:ind w:firstLine="240" w:firstLineChars="1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表1：政府资产总体分布及分类占比情况                    单位：亿元</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一）</w:t>
      </w:r>
      <w:r>
        <w:rPr>
          <w:rFonts w:hint="default" w:ascii="Times New Roman" w:hAnsi="Times New Roman" w:eastAsia="方正楷体_GBK" w:cs="Times New Roman"/>
          <w:b w:val="0"/>
          <w:bCs w:val="0"/>
          <w:color w:val="auto"/>
          <w:sz w:val="32"/>
          <w:szCs w:val="32"/>
        </w:rPr>
        <w:t>企业国有资产</w:t>
      </w:r>
      <w:r>
        <w:rPr>
          <w:rFonts w:hint="default" w:ascii="Times New Roman" w:hAnsi="Times New Roman" w:eastAsia="方正楷体_GBK" w:cs="Times New Roman"/>
          <w:b w:val="0"/>
          <w:bCs w:val="0"/>
          <w:color w:val="auto"/>
          <w:sz w:val="32"/>
          <w:szCs w:val="32"/>
          <w:lang w:eastAsia="zh-CN"/>
        </w:rPr>
        <w:t>情况</w:t>
      </w:r>
      <w:r>
        <w:rPr>
          <w:rFonts w:hint="default" w:ascii="Times New Roman" w:hAnsi="Times New Roman" w:eastAsia="方正楷体_GBK" w:cs="Times New Roman"/>
          <w:b w:val="0"/>
          <w:bCs w:val="0"/>
          <w:color w:val="auto"/>
          <w:sz w:val="32"/>
          <w:szCs w:val="32"/>
        </w:rPr>
        <w:t>（不含金融企业）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sz w:val="32"/>
          <w:szCs w:val="32"/>
          <w:lang w:eastAsia="zh-CN"/>
        </w:rPr>
      </w:pPr>
      <w:r>
        <w:rPr>
          <w:rFonts w:hint="default" w:ascii="Times New Roman" w:hAnsi="Times New Roman" w:eastAsia="方正仿宋_GBK" w:cs="Times New Roman"/>
          <w:b/>
          <w:bCs/>
          <w:color w:val="auto"/>
          <w:sz w:val="32"/>
          <w:szCs w:val="32"/>
          <w:lang w:val="en-US" w:eastAsia="zh-CN"/>
        </w:rPr>
        <w:t>1.</w:t>
      </w:r>
      <w:r>
        <w:rPr>
          <w:rFonts w:hint="default" w:ascii="Times New Roman" w:hAnsi="Times New Roman" w:eastAsia="方正仿宋_GBK" w:cs="Times New Roman"/>
          <w:b/>
          <w:bCs/>
          <w:color w:val="auto"/>
          <w:sz w:val="32"/>
          <w:szCs w:val="32"/>
          <w:lang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截止2022年12月31日，</w:t>
      </w:r>
      <w:r>
        <w:rPr>
          <w:rFonts w:hint="eastAsia" w:eastAsia="方正仿宋_GBK" w:cs="Times New Roman"/>
          <w:sz w:val="32"/>
          <w:szCs w:val="32"/>
          <w:highlight w:val="none"/>
          <w:lang w:val="en-US" w:eastAsia="zh-CN"/>
        </w:rPr>
        <w:t>经开</w:t>
      </w:r>
      <w:r>
        <w:rPr>
          <w:rFonts w:hint="default" w:ascii="Times New Roman" w:hAnsi="Times New Roman" w:eastAsia="方正仿宋_GBK" w:cs="Times New Roman"/>
          <w:sz w:val="32"/>
          <w:szCs w:val="32"/>
          <w:highlight w:val="none"/>
        </w:rPr>
        <w:t>区国有企业资产总额</w:t>
      </w:r>
      <w:r>
        <w:rPr>
          <w:rFonts w:hint="default" w:ascii="Times New Roman" w:hAnsi="Times New Roman" w:eastAsia="宋体" w:cs="Times New Roman"/>
          <w:i w:val="0"/>
          <w:color w:val="000000"/>
          <w:kern w:val="0"/>
          <w:sz w:val="32"/>
          <w:szCs w:val="32"/>
          <w:highlight w:val="none"/>
          <w:u w:val="none"/>
          <w:lang w:val="en-US" w:eastAsia="zh-CN" w:bidi="ar"/>
        </w:rPr>
        <w:t>1</w:t>
      </w:r>
      <w:r>
        <w:rPr>
          <w:rFonts w:hint="eastAsia" w:cs="Times New Roman"/>
          <w:i w:val="0"/>
          <w:color w:val="000000"/>
          <w:kern w:val="0"/>
          <w:sz w:val="32"/>
          <w:szCs w:val="32"/>
          <w:highlight w:val="none"/>
          <w:u w:val="none"/>
          <w:lang w:val="en-US" w:eastAsia="zh-CN" w:bidi="ar"/>
        </w:rPr>
        <w:t>,</w:t>
      </w:r>
      <w:r>
        <w:rPr>
          <w:rFonts w:hint="default" w:ascii="Times New Roman" w:hAnsi="Times New Roman" w:eastAsia="宋体" w:cs="Times New Roman"/>
          <w:i w:val="0"/>
          <w:color w:val="000000"/>
          <w:kern w:val="0"/>
          <w:sz w:val="32"/>
          <w:szCs w:val="32"/>
          <w:highlight w:val="none"/>
          <w:u w:val="none"/>
          <w:lang w:val="en-US" w:eastAsia="zh-CN" w:bidi="ar"/>
        </w:rPr>
        <w:t>130.37</w:t>
      </w:r>
      <w:r>
        <w:rPr>
          <w:rFonts w:hint="default" w:ascii="Times New Roman" w:hAnsi="Times New Roman" w:eastAsia="方正仿宋_GBK" w:cs="Times New Roman"/>
          <w:sz w:val="32"/>
          <w:szCs w:val="32"/>
          <w:highlight w:val="none"/>
        </w:rPr>
        <w:t>亿元，负债总额</w:t>
      </w:r>
      <w:r>
        <w:rPr>
          <w:rFonts w:hint="default" w:ascii="Times New Roman" w:hAnsi="Times New Roman" w:eastAsia="宋体" w:cs="Times New Roman"/>
          <w:i w:val="0"/>
          <w:color w:val="000000"/>
          <w:kern w:val="0"/>
          <w:sz w:val="32"/>
          <w:szCs w:val="32"/>
          <w:highlight w:val="none"/>
          <w:u w:val="none"/>
          <w:lang w:val="en-US" w:eastAsia="zh-CN" w:bidi="ar"/>
        </w:rPr>
        <w:t>747.79</w:t>
      </w:r>
      <w:r>
        <w:rPr>
          <w:rFonts w:hint="default" w:ascii="Times New Roman" w:hAnsi="Times New Roman" w:eastAsia="方正仿宋_GBK" w:cs="Times New Roman"/>
          <w:sz w:val="32"/>
          <w:szCs w:val="32"/>
          <w:highlight w:val="none"/>
        </w:rPr>
        <w:t>亿元，净资产</w:t>
      </w:r>
      <w:r>
        <w:rPr>
          <w:rFonts w:hint="default" w:ascii="Times New Roman" w:hAnsi="Times New Roman" w:eastAsia="宋体" w:cs="Times New Roman"/>
          <w:i w:val="0"/>
          <w:color w:val="000000"/>
          <w:kern w:val="0"/>
          <w:sz w:val="32"/>
          <w:szCs w:val="32"/>
          <w:highlight w:val="none"/>
          <w:u w:val="none"/>
          <w:lang w:val="en-US" w:eastAsia="zh-CN" w:bidi="ar"/>
        </w:rPr>
        <w:t>382.58</w:t>
      </w:r>
      <w:r>
        <w:rPr>
          <w:rFonts w:hint="default" w:ascii="Times New Roman" w:hAnsi="Times New Roman" w:eastAsia="方正仿宋_GBK" w:cs="Times New Roman"/>
          <w:sz w:val="32"/>
          <w:szCs w:val="32"/>
          <w:highlight w:val="none"/>
        </w:rPr>
        <w:t>亿元，净利润</w:t>
      </w:r>
      <w:r>
        <w:rPr>
          <w:rFonts w:hint="default" w:ascii="Times New Roman" w:hAnsi="Times New Roman" w:eastAsia="宋体" w:cs="Times New Roman"/>
          <w:i w:val="0"/>
          <w:color w:val="000000"/>
          <w:kern w:val="0"/>
          <w:sz w:val="32"/>
          <w:szCs w:val="32"/>
          <w:highlight w:val="none"/>
          <w:u w:val="none"/>
          <w:lang w:val="en-US" w:eastAsia="zh-CN" w:bidi="ar"/>
        </w:rPr>
        <w:t>7.09</w:t>
      </w:r>
      <w:r>
        <w:rPr>
          <w:rFonts w:hint="default" w:ascii="Times New Roman" w:hAnsi="Times New Roman" w:eastAsia="方正仿宋_GBK" w:cs="Times New Roman"/>
          <w:sz w:val="32"/>
          <w:szCs w:val="32"/>
          <w:highlight w:val="none"/>
        </w:rPr>
        <w:t>亿元，资产负债率</w:t>
      </w:r>
      <w:r>
        <w:rPr>
          <w:rFonts w:hint="default" w:ascii="Times New Roman" w:hAnsi="Times New Roman" w:eastAsia="方正仿宋_GBK" w:cs="Times New Roman"/>
          <w:sz w:val="32"/>
          <w:szCs w:val="32"/>
          <w:highlight w:val="none"/>
          <w:lang w:val="en-US" w:eastAsia="zh-CN"/>
        </w:rPr>
        <w:t>66.15</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较20</w:t>
      </w:r>
      <w:r>
        <w:rPr>
          <w:rFonts w:hint="default" w:ascii="Times New Roman" w:hAnsi="Times New Roman" w:eastAsia="方正仿宋_GBK" w:cs="Times New Roman"/>
          <w:sz w:val="32"/>
          <w:szCs w:val="32"/>
          <w:highlight w:val="none"/>
          <w:lang w:val="en-US" w:eastAsia="zh-CN"/>
        </w:rPr>
        <w:t>21</w:t>
      </w:r>
      <w:r>
        <w:rPr>
          <w:rFonts w:hint="default" w:ascii="Times New Roman" w:hAnsi="Times New Roman" w:eastAsia="方正仿宋_GBK" w:cs="Times New Roman"/>
          <w:sz w:val="32"/>
          <w:szCs w:val="32"/>
          <w:highlight w:val="none"/>
        </w:rPr>
        <w:t>年末分别增长</w:t>
      </w:r>
      <w:r>
        <w:rPr>
          <w:rFonts w:hint="default" w:ascii="Times New Roman" w:hAnsi="Times New Roman" w:eastAsia="方正仿宋_GBK" w:cs="Times New Roman"/>
          <w:sz w:val="32"/>
          <w:szCs w:val="32"/>
          <w:highlight w:val="none"/>
          <w:lang w:val="en-US" w:eastAsia="zh-CN"/>
        </w:rPr>
        <w:t>5.52%</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2.20%</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12.48%</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1.75%</w:t>
      </w:r>
      <w:r>
        <w:rPr>
          <w:rFonts w:hint="default" w:ascii="Times New Roman" w:hAnsi="Times New Roman" w:eastAsia="方正仿宋_GBK" w:cs="Times New Roman"/>
          <w:sz w:val="32"/>
          <w:szCs w:val="32"/>
          <w:highlight w:val="none"/>
        </w:rPr>
        <w:t>和</w:t>
      </w:r>
      <w:r>
        <w:rPr>
          <w:rFonts w:hint="default" w:ascii="Times New Roman" w:hAnsi="Times New Roman" w:eastAsia="方正仿宋_GBK" w:cs="Times New Roman"/>
          <w:sz w:val="32"/>
          <w:szCs w:val="32"/>
          <w:highlight w:val="none"/>
          <w:lang w:val="en-US" w:eastAsia="zh-CN"/>
        </w:rPr>
        <w:t>-1.58%</w:t>
      </w:r>
      <w:r>
        <w:rPr>
          <w:rFonts w:hint="default" w:ascii="Times New Roman" w:hAnsi="Times New Roman" w:eastAsia="方正仿宋_GBK" w:cs="Times New Roman"/>
          <w:sz w:val="32"/>
          <w:szCs w:val="32"/>
          <w:highlight w:val="none"/>
        </w:rPr>
        <w:t>，国有资本保值增值率为</w:t>
      </w:r>
      <w:r>
        <w:rPr>
          <w:rFonts w:hint="default" w:ascii="Times New Roman" w:hAnsi="Times New Roman" w:eastAsia="方正仿宋_GBK" w:cs="Times New Roman"/>
          <w:sz w:val="32"/>
          <w:szCs w:val="32"/>
          <w:highlight w:val="none"/>
          <w:lang w:val="en-US" w:eastAsia="zh-CN"/>
        </w:rPr>
        <w:t>112.48%</w:t>
      </w:r>
      <w:r>
        <w:rPr>
          <w:rFonts w:hint="default" w:ascii="Times New Roman" w:hAnsi="Times New Roman" w:eastAsia="方正仿宋_GBK" w:cs="Times New Roman"/>
          <w:sz w:val="32"/>
          <w:szCs w:val="32"/>
          <w:highlight w:val="none"/>
        </w:rPr>
        <w:t>。区属国有企业20</w:t>
      </w:r>
      <w:r>
        <w:rPr>
          <w:rFonts w:hint="default" w:ascii="Times New Roman" w:hAnsi="Times New Roman" w:eastAsia="方正仿宋_GBK" w:cs="Times New Roman"/>
          <w:sz w:val="32"/>
          <w:szCs w:val="32"/>
          <w:highlight w:val="none"/>
          <w:lang w:val="en-US" w:eastAsia="zh-CN"/>
        </w:rPr>
        <w:t>22</w:t>
      </w:r>
      <w:r>
        <w:rPr>
          <w:rFonts w:hint="default" w:ascii="Times New Roman" w:hAnsi="Times New Roman" w:eastAsia="方正仿宋_GBK" w:cs="Times New Roman"/>
          <w:sz w:val="32"/>
          <w:szCs w:val="32"/>
          <w:highlight w:val="none"/>
        </w:rPr>
        <w:t>年</w:t>
      </w:r>
      <w:r>
        <w:rPr>
          <w:rStyle w:val="20"/>
          <w:rFonts w:hint="default" w:ascii="Times New Roman" w:hAnsi="Times New Roman" w:eastAsia="方正仿宋_GBK" w:cs="Times New Roman"/>
          <w:sz w:val="32"/>
          <w:highlight w:val="none"/>
        </w:rPr>
        <w:t>全年共上缴国有资本收益</w:t>
      </w:r>
      <w:r>
        <w:rPr>
          <w:rStyle w:val="20"/>
          <w:rFonts w:hint="default" w:ascii="Times New Roman" w:hAnsi="Times New Roman" w:eastAsia="方正仿宋_GBK" w:cs="Times New Roman"/>
          <w:sz w:val="32"/>
          <w:highlight w:val="none"/>
          <w:lang w:val="en-US" w:eastAsia="zh-CN"/>
        </w:rPr>
        <w:t>3.65</w:t>
      </w:r>
      <w:r>
        <w:rPr>
          <w:rStyle w:val="20"/>
          <w:rFonts w:hint="default" w:ascii="Times New Roman" w:hAnsi="Times New Roman" w:eastAsia="方正仿宋_GBK" w:cs="Times New Roman"/>
          <w:sz w:val="32"/>
          <w:highlight w:val="none"/>
        </w:rPr>
        <w:t>亿元，</w:t>
      </w:r>
      <w:r>
        <w:rPr>
          <w:rFonts w:hint="default" w:ascii="Times New Roman" w:hAnsi="Times New Roman" w:eastAsia="方正仿宋_GBK" w:cs="Times New Roman"/>
          <w:color w:val="000000"/>
          <w:sz w:val="32"/>
          <w:szCs w:val="32"/>
          <w:highlight w:val="none"/>
        </w:rPr>
        <w:t>国有企业从业人员超过</w:t>
      </w:r>
      <w:r>
        <w:rPr>
          <w:rFonts w:hint="default" w:ascii="Times New Roman" w:hAnsi="Times New Roman" w:eastAsia="方正仿宋_GBK" w:cs="Times New Roman"/>
          <w:color w:val="000000"/>
          <w:sz w:val="32"/>
          <w:szCs w:val="32"/>
          <w:highlight w:val="none"/>
          <w:lang w:val="en-US" w:eastAsia="zh-CN"/>
        </w:rPr>
        <w:t>8</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829</w:t>
      </w:r>
      <w:r>
        <w:rPr>
          <w:rFonts w:hint="default" w:ascii="Times New Roman" w:hAnsi="Times New Roman" w:eastAsia="方正仿宋_GBK" w:cs="Times New Roman"/>
          <w:color w:val="000000"/>
          <w:sz w:val="32"/>
          <w:szCs w:val="32"/>
          <w:highlight w:val="none"/>
        </w:rPr>
        <w:t>人。（</w:t>
      </w:r>
      <w:r>
        <w:rPr>
          <w:rFonts w:hint="default" w:ascii="Times New Roman" w:hAnsi="Times New Roman" w:eastAsia="方正仿宋_GBK" w:cs="Times New Roman"/>
          <w:color w:val="auto"/>
          <w:kern w:val="2"/>
          <w:sz w:val="32"/>
          <w:szCs w:val="32"/>
          <w:lang w:val="en-US" w:eastAsia="zh-CN" w:bidi="ar-SA"/>
        </w:rPr>
        <w:t>详见表</w:t>
      </w:r>
      <w:r>
        <w:rPr>
          <w:rFonts w:hint="eastAsia" w:ascii="Times New Roman" w:hAnsi="Times New Roman" w:eastAsia="方正仿宋_GBK" w:cs="Times New Roman"/>
          <w:color w:val="auto"/>
          <w:kern w:val="2"/>
          <w:sz w:val="32"/>
          <w:szCs w:val="32"/>
          <w:lang w:val="en-US" w:eastAsia="zh-CN" w:bidi="ar-SA"/>
        </w:rPr>
        <w:t>2</w:t>
      </w:r>
      <w:r>
        <w:rPr>
          <w:rFonts w:hint="default" w:ascii="Times New Roman" w:hAnsi="Times New Roman" w:eastAsia="方正楷体_GBK" w:cs="Times New Roman"/>
          <w:i w:val="0"/>
          <w:color w:val="000000"/>
          <w:kern w:val="0"/>
          <w:sz w:val="32"/>
          <w:szCs w:val="32"/>
          <w:highlight w:val="none"/>
          <w:u w:val="none"/>
          <w:lang w:val="en-US" w:eastAsia="zh-CN" w:bidi="ar"/>
        </w:rPr>
        <w:t>）</w:t>
      </w:r>
    </w:p>
    <w:p>
      <w:pPr>
        <w:pageBreakBefore w:val="0"/>
        <w:kinsoku/>
        <w:wordWrap/>
        <w:overflowPunct/>
        <w:topLinePunct w:val="0"/>
        <w:autoSpaceDE/>
        <w:autoSpaceDN/>
        <w:bidi w:val="0"/>
        <w:spacing w:line="560" w:lineRule="exact"/>
        <w:ind w:firstLine="240" w:firstLineChars="100"/>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表2：国有企业资产负债分布情况                            单位：亿元</w:t>
      </w:r>
    </w:p>
    <w:tbl>
      <w:tblPr>
        <w:tblStyle w:val="15"/>
        <w:tblW w:w="861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08"/>
        <w:gridCol w:w="1753"/>
        <w:gridCol w:w="1566"/>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单位名称</w:t>
            </w:r>
          </w:p>
        </w:tc>
        <w:tc>
          <w:tcPr>
            <w:tcW w:w="1608"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资产总额</w:t>
            </w:r>
          </w:p>
        </w:tc>
        <w:tc>
          <w:tcPr>
            <w:tcW w:w="17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负债总额</w:t>
            </w:r>
          </w:p>
        </w:tc>
        <w:tc>
          <w:tcPr>
            <w:tcW w:w="1566"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bCs/>
                <w:color w:val="auto"/>
                <w:kern w:val="0"/>
                <w:sz w:val="21"/>
                <w:szCs w:val="21"/>
              </w:rPr>
              <w:t>净资产</w:t>
            </w:r>
          </w:p>
        </w:tc>
        <w:tc>
          <w:tcPr>
            <w:tcW w:w="1553" w:type="dxa"/>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bCs/>
                <w:color w:val="auto"/>
                <w:kern w:val="0"/>
                <w:sz w:val="21"/>
                <w:szCs w:val="21"/>
                <w:lang w:eastAsia="zh-CN"/>
              </w:rPr>
            </w:pPr>
            <w:r>
              <w:rPr>
                <w:rFonts w:hint="default" w:ascii="Times New Roman" w:hAnsi="Times New Roman" w:eastAsia="方正仿宋_GBK" w:cs="Times New Roman"/>
                <w:bCs/>
                <w:color w:val="auto"/>
                <w:kern w:val="0"/>
                <w:sz w:val="21"/>
                <w:szCs w:val="21"/>
                <w:lang w:eastAsia="zh-CN"/>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bCs/>
                <w:color w:val="auto"/>
                <w:kern w:val="0"/>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建投集团</w:t>
            </w:r>
          </w:p>
        </w:tc>
        <w:tc>
          <w:tcPr>
            <w:tcW w:w="1608"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352.13</w:t>
            </w:r>
          </w:p>
        </w:tc>
        <w:tc>
          <w:tcPr>
            <w:tcW w:w="17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237.91</w:t>
            </w:r>
          </w:p>
        </w:tc>
        <w:tc>
          <w:tcPr>
            <w:tcW w:w="15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114.22</w:t>
            </w:r>
          </w:p>
        </w:tc>
        <w:tc>
          <w:tcPr>
            <w:tcW w:w="15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i w:val="0"/>
                <w:color w:val="000000"/>
                <w:kern w:val="0"/>
                <w:sz w:val="21"/>
                <w:szCs w:val="21"/>
                <w:u w:val="none"/>
                <w:lang w:val="en-US" w:eastAsia="zh-CN" w:bidi="ar"/>
              </w:rPr>
              <w:t>建发集团</w:t>
            </w:r>
          </w:p>
        </w:tc>
        <w:tc>
          <w:tcPr>
            <w:tcW w:w="1608"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243.12</w:t>
            </w:r>
          </w:p>
        </w:tc>
        <w:tc>
          <w:tcPr>
            <w:tcW w:w="17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159.66</w:t>
            </w:r>
          </w:p>
        </w:tc>
        <w:tc>
          <w:tcPr>
            <w:tcW w:w="15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83.46</w:t>
            </w:r>
          </w:p>
        </w:tc>
        <w:tc>
          <w:tcPr>
            <w:tcW w:w="15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213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bCs/>
                <w:color w:val="auto"/>
                <w:kern w:val="0"/>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高铁集团</w:t>
            </w:r>
          </w:p>
        </w:tc>
        <w:tc>
          <w:tcPr>
            <w:tcW w:w="1608"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123.85</w:t>
            </w:r>
          </w:p>
        </w:tc>
        <w:tc>
          <w:tcPr>
            <w:tcW w:w="17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78.97</w:t>
            </w:r>
          </w:p>
        </w:tc>
        <w:tc>
          <w:tcPr>
            <w:tcW w:w="15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44.88</w:t>
            </w:r>
          </w:p>
        </w:tc>
        <w:tc>
          <w:tcPr>
            <w:tcW w:w="15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3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bCs/>
                <w:color w:val="auto"/>
                <w:kern w:val="0"/>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维泰股份</w:t>
            </w:r>
          </w:p>
        </w:tc>
        <w:tc>
          <w:tcPr>
            <w:tcW w:w="1608"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155.39</w:t>
            </w:r>
          </w:p>
        </w:tc>
        <w:tc>
          <w:tcPr>
            <w:tcW w:w="17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125.47</w:t>
            </w:r>
          </w:p>
        </w:tc>
        <w:tc>
          <w:tcPr>
            <w:tcW w:w="15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29.92</w:t>
            </w:r>
          </w:p>
        </w:tc>
        <w:tc>
          <w:tcPr>
            <w:tcW w:w="15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bCs/>
                <w:color w:val="auto"/>
                <w:kern w:val="0"/>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软件园公司</w:t>
            </w:r>
          </w:p>
        </w:tc>
        <w:tc>
          <w:tcPr>
            <w:tcW w:w="1608"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33.36</w:t>
            </w:r>
          </w:p>
        </w:tc>
        <w:tc>
          <w:tcPr>
            <w:tcW w:w="17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13.79</w:t>
            </w:r>
          </w:p>
        </w:tc>
        <w:tc>
          <w:tcPr>
            <w:tcW w:w="15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19.57</w:t>
            </w:r>
          </w:p>
        </w:tc>
        <w:tc>
          <w:tcPr>
            <w:tcW w:w="15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bCs/>
                <w:color w:val="auto"/>
                <w:kern w:val="0"/>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新旅投公司</w:t>
            </w:r>
          </w:p>
        </w:tc>
        <w:tc>
          <w:tcPr>
            <w:tcW w:w="1608"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22.51</w:t>
            </w:r>
          </w:p>
        </w:tc>
        <w:tc>
          <w:tcPr>
            <w:tcW w:w="17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15.66</w:t>
            </w:r>
          </w:p>
        </w:tc>
        <w:tc>
          <w:tcPr>
            <w:tcW w:w="15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6.85</w:t>
            </w:r>
          </w:p>
        </w:tc>
        <w:tc>
          <w:tcPr>
            <w:tcW w:w="15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3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bCs/>
                <w:color w:val="auto"/>
                <w:kern w:val="0"/>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新城投公司</w:t>
            </w:r>
          </w:p>
        </w:tc>
        <w:tc>
          <w:tcPr>
            <w:tcW w:w="1608"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12.93</w:t>
            </w:r>
          </w:p>
        </w:tc>
        <w:tc>
          <w:tcPr>
            <w:tcW w:w="17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9.21</w:t>
            </w:r>
          </w:p>
        </w:tc>
        <w:tc>
          <w:tcPr>
            <w:tcW w:w="15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3.72</w:t>
            </w:r>
          </w:p>
        </w:tc>
        <w:tc>
          <w:tcPr>
            <w:tcW w:w="15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i w:val="0"/>
                <w:color w:val="000000"/>
                <w:kern w:val="0"/>
                <w:sz w:val="21"/>
                <w:szCs w:val="21"/>
                <w:u w:val="none"/>
                <w:lang w:val="en-US" w:eastAsia="zh-CN" w:bidi="ar"/>
              </w:rPr>
              <w:t>新产投公司</w:t>
            </w:r>
          </w:p>
        </w:tc>
        <w:tc>
          <w:tcPr>
            <w:tcW w:w="1608"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18</w:t>
            </w:r>
          </w:p>
        </w:tc>
        <w:tc>
          <w:tcPr>
            <w:tcW w:w="17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10.55</w:t>
            </w:r>
          </w:p>
        </w:tc>
        <w:tc>
          <w:tcPr>
            <w:tcW w:w="15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7.45</w:t>
            </w:r>
          </w:p>
        </w:tc>
        <w:tc>
          <w:tcPr>
            <w:tcW w:w="15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i w:val="0"/>
                <w:color w:val="000000"/>
                <w:kern w:val="0"/>
                <w:sz w:val="21"/>
                <w:szCs w:val="21"/>
                <w:u w:val="none"/>
                <w:lang w:val="en-US" w:eastAsia="zh-CN" w:bidi="ar"/>
              </w:rPr>
              <w:t>工投公司</w:t>
            </w:r>
          </w:p>
        </w:tc>
        <w:tc>
          <w:tcPr>
            <w:tcW w:w="1608"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40.72</w:t>
            </w:r>
          </w:p>
        </w:tc>
        <w:tc>
          <w:tcPr>
            <w:tcW w:w="17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21.57</w:t>
            </w:r>
          </w:p>
        </w:tc>
        <w:tc>
          <w:tcPr>
            <w:tcW w:w="15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19.15</w:t>
            </w:r>
          </w:p>
        </w:tc>
        <w:tc>
          <w:tcPr>
            <w:tcW w:w="15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i w:val="0"/>
                <w:color w:val="000000"/>
                <w:kern w:val="0"/>
                <w:sz w:val="21"/>
                <w:szCs w:val="21"/>
                <w:u w:val="none"/>
                <w:lang w:val="en-US" w:eastAsia="zh-CN" w:bidi="ar"/>
              </w:rPr>
              <w:t>综保区公司</w:t>
            </w:r>
          </w:p>
        </w:tc>
        <w:tc>
          <w:tcPr>
            <w:tcW w:w="1608"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55.47</w:t>
            </w:r>
          </w:p>
        </w:tc>
        <w:tc>
          <w:tcPr>
            <w:tcW w:w="17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40.13</w:t>
            </w:r>
          </w:p>
        </w:tc>
        <w:tc>
          <w:tcPr>
            <w:tcW w:w="15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15.34</w:t>
            </w:r>
          </w:p>
        </w:tc>
        <w:tc>
          <w:tcPr>
            <w:tcW w:w="15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bCs/>
                <w:color w:val="auto"/>
                <w:kern w:val="0"/>
                <w:sz w:val="21"/>
                <w:szCs w:val="21"/>
                <w:lang w:eastAsia="zh-CN"/>
              </w:rPr>
            </w:pPr>
            <w:r>
              <w:rPr>
                <w:rFonts w:hint="default" w:ascii="Times New Roman" w:hAnsi="Times New Roman" w:eastAsia="方正仿宋_GBK" w:cs="Times New Roman"/>
                <w:i w:val="0"/>
                <w:color w:val="000000"/>
                <w:kern w:val="0"/>
                <w:sz w:val="21"/>
                <w:szCs w:val="21"/>
                <w:u w:val="none"/>
                <w:lang w:val="en-US" w:eastAsia="zh-CN" w:bidi="ar"/>
              </w:rPr>
              <w:t>纺服开发公司</w:t>
            </w:r>
          </w:p>
        </w:tc>
        <w:tc>
          <w:tcPr>
            <w:tcW w:w="1608"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34.07</w:t>
            </w:r>
          </w:p>
        </w:tc>
        <w:tc>
          <w:tcPr>
            <w:tcW w:w="17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24.38</w:t>
            </w:r>
          </w:p>
        </w:tc>
        <w:tc>
          <w:tcPr>
            <w:tcW w:w="15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9.69</w:t>
            </w:r>
          </w:p>
        </w:tc>
        <w:tc>
          <w:tcPr>
            <w:tcW w:w="15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bCs/>
                <w:color w:val="auto"/>
                <w:kern w:val="0"/>
                <w:sz w:val="21"/>
                <w:szCs w:val="21"/>
              </w:rPr>
            </w:pPr>
            <w:r>
              <w:rPr>
                <w:rFonts w:hint="default" w:ascii="Times New Roman" w:hAnsi="Times New Roman" w:eastAsia="方正仿宋_GBK" w:cs="Times New Roman"/>
                <w:i w:val="0"/>
                <w:color w:val="000000"/>
                <w:kern w:val="0"/>
                <w:sz w:val="21"/>
                <w:szCs w:val="21"/>
                <w:u w:val="none"/>
                <w:lang w:val="en-US" w:eastAsia="zh-CN" w:bidi="ar"/>
              </w:rPr>
              <w:t>绿谷金融</w:t>
            </w:r>
          </w:p>
        </w:tc>
        <w:tc>
          <w:tcPr>
            <w:tcW w:w="1608"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38.82</w:t>
            </w:r>
          </w:p>
        </w:tc>
        <w:tc>
          <w:tcPr>
            <w:tcW w:w="17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10.49</w:t>
            </w:r>
          </w:p>
        </w:tc>
        <w:tc>
          <w:tcPr>
            <w:tcW w:w="1566"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28.33</w:t>
            </w:r>
          </w:p>
        </w:tc>
        <w:tc>
          <w:tcPr>
            <w:tcW w:w="1553"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i w:val="0"/>
                <w:color w:val="000000"/>
                <w:kern w:val="0"/>
                <w:sz w:val="21"/>
                <w:szCs w:val="21"/>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bottom"/>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bottom"/>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合计</w:t>
            </w:r>
          </w:p>
        </w:tc>
        <w:tc>
          <w:tcPr>
            <w:tcW w:w="1608" w:type="dxa"/>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top"/>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1130.37</w:t>
            </w:r>
          </w:p>
        </w:tc>
        <w:tc>
          <w:tcPr>
            <w:tcW w:w="1753" w:type="dxa"/>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top"/>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747.79</w:t>
            </w:r>
          </w:p>
        </w:tc>
        <w:tc>
          <w:tcPr>
            <w:tcW w:w="1566" w:type="dxa"/>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top"/>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382.58</w:t>
            </w:r>
          </w:p>
        </w:tc>
        <w:tc>
          <w:tcPr>
            <w:tcW w:w="1553" w:type="dxa"/>
            <w:vAlign w:val="top"/>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top"/>
              <w:rPr>
                <w:rFonts w:hint="default" w:ascii="Times New Roman" w:hAnsi="Times New Roman" w:eastAsia="方正仿宋_GBK" w:cs="Times New Roman"/>
                <w:i w:val="0"/>
                <w:color w:val="000000"/>
                <w:kern w:val="0"/>
                <w:sz w:val="21"/>
                <w:szCs w:val="21"/>
                <w:u w:val="none"/>
                <w:lang w:val="en-US" w:eastAsia="zh-CN" w:bidi="ar"/>
              </w:rPr>
            </w:pPr>
            <w:r>
              <w:rPr>
                <w:rFonts w:hint="default" w:ascii="Times New Roman" w:hAnsi="Times New Roman" w:eastAsia="方正仿宋_GBK" w:cs="Times New Roman"/>
                <w:i w:val="0"/>
                <w:color w:val="000000"/>
                <w:kern w:val="0"/>
                <w:sz w:val="21"/>
                <w:szCs w:val="21"/>
                <w:u w:val="none"/>
                <w:lang w:val="en-US" w:eastAsia="zh-CN" w:bidi="ar"/>
              </w:rPr>
              <w:t>7.09</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color w:val="auto"/>
          <w:kern w:val="2"/>
          <w:sz w:val="32"/>
          <w:szCs w:val="32"/>
          <w:lang w:val="en-US" w:eastAsia="zh-CN" w:bidi="ar-SA"/>
        </w:rPr>
      </w:pPr>
      <w:r>
        <w:rPr>
          <w:rFonts w:hint="eastAsia" w:eastAsia="方正仿宋_GBK" w:cs="Times New Roman"/>
          <w:b/>
          <w:bCs/>
          <w:color w:val="auto"/>
          <w:kern w:val="2"/>
          <w:sz w:val="32"/>
          <w:szCs w:val="32"/>
          <w:lang w:val="en-US" w:eastAsia="zh-CN" w:bidi="ar-SA"/>
        </w:rPr>
        <w:t>2</w:t>
      </w:r>
      <w:r>
        <w:rPr>
          <w:rFonts w:hint="default" w:ascii="Times New Roman" w:hAnsi="Times New Roman" w:eastAsia="方正仿宋_GBK" w:cs="Times New Roman"/>
          <w:b/>
          <w:bCs/>
          <w:color w:val="auto"/>
          <w:kern w:val="2"/>
          <w:sz w:val="32"/>
          <w:szCs w:val="32"/>
          <w:lang w:val="en-US" w:eastAsia="zh-CN" w:bidi="ar-SA"/>
        </w:rPr>
        <w:t>.</w:t>
      </w:r>
      <w:r>
        <w:rPr>
          <w:rFonts w:hint="default" w:ascii="Times New Roman" w:hAnsi="Times New Roman" w:eastAsia="方正仿宋_GBK" w:cs="Times New Roman"/>
          <w:b/>
          <w:bCs/>
          <w:i w:val="0"/>
          <w:caps w:val="0"/>
          <w:color w:val="auto"/>
          <w:spacing w:val="0"/>
          <w:sz w:val="32"/>
          <w:szCs w:val="32"/>
          <w:shd w:val="clear" w:fill="FFFFFF"/>
          <w:lang w:eastAsia="zh-CN"/>
        </w:rPr>
        <w:t>国有企业资产管理情况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kern w:val="0"/>
          <w:sz w:val="32"/>
          <w:szCs w:val="32"/>
          <w:highlight w:val="none"/>
        </w:rPr>
      </w:pPr>
      <w:r>
        <w:rPr>
          <w:rFonts w:hint="default" w:ascii="Times New Roman" w:hAnsi="Times New Roman" w:eastAsia="方正仿宋_GBK" w:cs="Times New Roman"/>
          <w:color w:val="auto"/>
          <w:kern w:val="2"/>
          <w:sz w:val="32"/>
          <w:szCs w:val="32"/>
          <w:lang w:val="en-US" w:eastAsia="zh-CN" w:bidi="ar-SA"/>
        </w:rPr>
        <w:t>（1）</w:t>
      </w:r>
      <w:r>
        <w:rPr>
          <w:rFonts w:hint="default" w:ascii="Times New Roman" w:hAnsi="Times New Roman" w:eastAsia="方正仿宋_GBK" w:cs="Times New Roman"/>
          <w:color w:val="auto"/>
          <w:sz w:val="32"/>
          <w:szCs w:val="32"/>
          <w:lang w:val="en-US" w:eastAsia="zh-CN"/>
        </w:rPr>
        <w:t>稳步推进资产盘活工作</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sz w:val="32"/>
          <w:szCs w:val="32"/>
          <w:highlight w:val="none"/>
          <w:lang w:val="en-US" w:eastAsia="zh-CN"/>
        </w:rPr>
        <w:t>一是</w:t>
      </w:r>
      <w:r>
        <w:rPr>
          <w:rFonts w:hint="default" w:ascii="Times New Roman" w:hAnsi="Times New Roman" w:eastAsia="方正仿宋_GBK" w:cs="Times New Roman"/>
          <w:sz w:val="32"/>
          <w:szCs w:val="32"/>
          <w:highlight w:val="none"/>
          <w:lang w:val="en-US" w:eastAsia="zh-CN"/>
        </w:rPr>
        <w:t>区属国有企业已盘活楼宇、厂房等存量资产总面积</w:t>
      </w:r>
      <w:r>
        <w:rPr>
          <w:rFonts w:hint="eastAsia" w:ascii="Times New Roman" w:hAnsi="Times New Roman" w:eastAsia="方正仿宋_GBK" w:cs="Times New Roman"/>
          <w:sz w:val="32"/>
          <w:szCs w:val="32"/>
          <w:highlight w:val="none"/>
          <w:lang w:val="en-US" w:eastAsia="zh-CN"/>
        </w:rPr>
        <w:t>25.34</w:t>
      </w:r>
      <w:r>
        <w:rPr>
          <w:rFonts w:hint="default" w:ascii="Times New Roman" w:hAnsi="Times New Roman" w:eastAsia="方正仿宋_GBK" w:cs="Times New Roman"/>
          <w:sz w:val="32"/>
          <w:szCs w:val="32"/>
          <w:highlight w:val="none"/>
          <w:lang w:val="en-US" w:eastAsia="zh-CN"/>
        </w:rPr>
        <w:t>万平方米，完成资产盘活收入共计</w:t>
      </w:r>
      <w:r>
        <w:rPr>
          <w:rFonts w:hint="eastAsia" w:ascii="Times New Roman" w:hAnsi="Times New Roman" w:eastAsia="方正仿宋_GBK" w:cs="Times New Roman"/>
          <w:sz w:val="32"/>
          <w:szCs w:val="32"/>
          <w:highlight w:val="none"/>
          <w:lang w:val="en-US" w:eastAsia="zh-CN"/>
        </w:rPr>
        <w:t>8.86</w:t>
      </w:r>
      <w:r>
        <w:rPr>
          <w:rFonts w:hint="default" w:ascii="Times New Roman" w:hAnsi="Times New Roman" w:eastAsia="方正仿宋_GBK" w:cs="Times New Roman"/>
          <w:sz w:val="32"/>
          <w:szCs w:val="32"/>
          <w:highlight w:val="none"/>
          <w:lang w:val="en-US" w:eastAsia="zh-CN"/>
        </w:rPr>
        <w:t>亿元，全部用于偿还到期债务。</w:t>
      </w:r>
      <w:r>
        <w:rPr>
          <w:rFonts w:hint="default" w:ascii="Times New Roman" w:hAnsi="Times New Roman" w:eastAsia="方正仿宋_GBK" w:cs="Times New Roman"/>
          <w:b/>
          <w:bCs/>
          <w:sz w:val="32"/>
          <w:szCs w:val="32"/>
          <w:highlight w:val="none"/>
          <w:lang w:val="en-US" w:eastAsia="zh-CN"/>
        </w:rPr>
        <w:t>二是</w:t>
      </w:r>
      <w:r>
        <w:rPr>
          <w:rFonts w:hint="default" w:ascii="Times New Roman" w:hAnsi="Times New Roman" w:eastAsia="方正仿宋_GBK" w:cs="Times New Roman"/>
          <w:sz w:val="32"/>
          <w:szCs w:val="32"/>
          <w:highlight w:val="none"/>
          <w:lang w:val="en-US" w:eastAsia="zh-CN"/>
        </w:rPr>
        <w:t>区属国有企业已租赁盘活</w:t>
      </w:r>
      <w:r>
        <w:rPr>
          <w:rFonts w:hint="eastAsia" w:eastAsia="方正仿宋_GBK" w:cs="Times New Roman"/>
          <w:sz w:val="32"/>
          <w:szCs w:val="32"/>
          <w:highlight w:val="none"/>
          <w:lang w:val="en-US" w:eastAsia="zh-CN"/>
        </w:rPr>
        <w:t>保障性住房</w:t>
      </w:r>
      <w:r>
        <w:rPr>
          <w:rFonts w:hint="eastAsia" w:ascii="Times New Roman" w:hAnsi="Times New Roman" w:eastAsia="方正仿宋_GBK" w:cs="Times New Roman"/>
          <w:sz w:val="32"/>
          <w:szCs w:val="32"/>
          <w:highlight w:val="none"/>
          <w:lang w:val="en-US" w:eastAsia="zh-CN"/>
        </w:rPr>
        <w:t>135</w:t>
      </w:r>
      <w:r>
        <w:rPr>
          <w:rFonts w:hint="default" w:ascii="Times New Roman" w:hAnsi="Times New Roman" w:eastAsia="方正仿宋_GBK" w:cs="Times New Roman"/>
          <w:sz w:val="32"/>
          <w:szCs w:val="32"/>
          <w:highlight w:val="none"/>
          <w:lang w:val="en-US" w:eastAsia="zh-CN"/>
        </w:rPr>
        <w:t>套，取得收入</w:t>
      </w:r>
      <w:r>
        <w:rPr>
          <w:rFonts w:hint="eastAsia" w:ascii="Times New Roman" w:hAnsi="Times New Roman" w:eastAsia="方正仿宋_GBK" w:cs="Times New Roman"/>
          <w:sz w:val="32"/>
          <w:szCs w:val="32"/>
          <w:highlight w:val="none"/>
          <w:lang w:val="en-US" w:eastAsia="zh-CN"/>
        </w:rPr>
        <w:t>92.64</w:t>
      </w:r>
      <w:r>
        <w:rPr>
          <w:rFonts w:hint="default" w:ascii="Times New Roman" w:hAnsi="Times New Roman" w:eastAsia="方正仿宋_GBK" w:cs="Times New Roman"/>
          <w:sz w:val="32"/>
          <w:szCs w:val="32"/>
          <w:highlight w:val="none"/>
          <w:lang w:val="en-US" w:eastAsia="zh-CN"/>
        </w:rPr>
        <w:t>万元。</w:t>
      </w:r>
      <w:r>
        <w:rPr>
          <w:rFonts w:hint="default" w:ascii="Times New Roman" w:hAnsi="Times New Roman" w:eastAsia="方正仿宋_GBK" w:cs="Times New Roman"/>
          <w:b/>
          <w:bCs/>
          <w:sz w:val="32"/>
          <w:szCs w:val="32"/>
          <w:highlight w:val="none"/>
          <w:lang w:val="en-US" w:eastAsia="zh-CN"/>
        </w:rPr>
        <w:t>三是</w:t>
      </w:r>
      <w:r>
        <w:rPr>
          <w:rFonts w:hint="default" w:ascii="Times New Roman" w:hAnsi="Times New Roman" w:eastAsia="方正仿宋_GBK" w:cs="Times New Roman"/>
          <w:sz w:val="32"/>
          <w:szCs w:val="32"/>
          <w:highlight w:val="none"/>
          <w:lang w:val="en-US" w:eastAsia="zh-CN"/>
        </w:rPr>
        <w:t>区属国有企业闲置土地25宗，面积1</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270.53亩</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截至目前，开工</w:t>
      </w:r>
      <w:r>
        <w:rPr>
          <w:rFonts w:hint="eastAsia"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val="en-US" w:eastAsia="zh-CN"/>
        </w:rPr>
        <w:t>宗，面积</w:t>
      </w:r>
      <w:r>
        <w:rPr>
          <w:rFonts w:hint="eastAsia" w:eastAsia="方正仿宋_GBK" w:cs="Times New Roman"/>
          <w:sz w:val="32"/>
          <w:szCs w:val="32"/>
          <w:highlight w:val="none"/>
          <w:lang w:val="en-US" w:eastAsia="zh-CN"/>
        </w:rPr>
        <w:t>452.33</w:t>
      </w:r>
      <w:r>
        <w:rPr>
          <w:rFonts w:hint="default" w:ascii="Times New Roman" w:hAnsi="Times New Roman" w:eastAsia="方正仿宋_GBK" w:cs="Times New Roman"/>
          <w:sz w:val="32"/>
          <w:szCs w:val="32"/>
          <w:highlight w:val="none"/>
          <w:lang w:val="en-US" w:eastAsia="zh-CN"/>
        </w:rPr>
        <w:t>亩。</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color w:val="auto"/>
          <w:kern w:val="2"/>
          <w:sz w:val="32"/>
          <w:szCs w:val="32"/>
          <w:lang w:val="en-US" w:eastAsia="zh-CN" w:bidi="ar-SA"/>
        </w:rPr>
        <w:t>（</w:t>
      </w:r>
      <w:r>
        <w:rPr>
          <w:rFonts w:hint="eastAsia"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w:t>
      </w:r>
      <w:r>
        <w:rPr>
          <w:rFonts w:hint="eastAsia" w:eastAsia="方正仿宋_GBK" w:cs="Times New Roman"/>
          <w:color w:val="auto"/>
          <w:sz w:val="32"/>
          <w:szCs w:val="32"/>
          <w:lang w:val="en-US" w:eastAsia="zh-CN"/>
        </w:rPr>
        <w:t>有力推进重点建设项目</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sz w:val="32"/>
          <w:szCs w:val="32"/>
          <w:highlight w:val="none"/>
          <w:lang w:val="en-US" w:eastAsia="zh-CN"/>
        </w:rPr>
        <w:t>2022年区属国有企业计划投资项目共57个，</w:t>
      </w:r>
      <w:r>
        <w:rPr>
          <w:rFonts w:hint="eastAsia" w:eastAsia="方正仿宋_GBK" w:cs="Times New Roman"/>
          <w:sz w:val="32"/>
          <w:szCs w:val="32"/>
          <w:highlight w:val="none"/>
          <w:lang w:val="en-US" w:eastAsia="zh-CN"/>
        </w:rPr>
        <w:t>计</w:t>
      </w:r>
      <w:r>
        <w:rPr>
          <w:rFonts w:hint="default" w:ascii="Times New Roman" w:hAnsi="Times New Roman" w:eastAsia="方正仿宋_GBK" w:cs="Times New Roman"/>
          <w:sz w:val="32"/>
          <w:szCs w:val="32"/>
          <w:highlight w:val="none"/>
          <w:lang w:val="en-US" w:eastAsia="zh-CN"/>
        </w:rPr>
        <w:t>划总投资金额496.19亿元，年度计划投资50.90亿元，截至</w:t>
      </w:r>
      <w:r>
        <w:rPr>
          <w:rFonts w:hint="eastAsia" w:eastAsia="方正仿宋_GBK" w:cs="Times New Roman"/>
          <w:sz w:val="32"/>
          <w:szCs w:val="32"/>
          <w:highlight w:val="none"/>
          <w:lang w:val="en-US" w:eastAsia="zh-CN"/>
        </w:rPr>
        <w:t>2022年</w:t>
      </w:r>
      <w:r>
        <w:rPr>
          <w:rFonts w:hint="default" w:ascii="Times New Roman" w:hAnsi="Times New Roman" w:eastAsia="方正仿宋_GBK" w:cs="Times New Roman"/>
          <w:sz w:val="32"/>
          <w:szCs w:val="32"/>
          <w:highlight w:val="none"/>
          <w:lang w:val="en-US" w:eastAsia="zh-CN"/>
        </w:rPr>
        <w:t>末，区属国有企业已完成年度形象进度投资45.52亿元，完成纳统43.97亿元。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eastAsia="方正仿宋_GBK"/>
          <w:sz w:val="32"/>
          <w:szCs w:val="32"/>
          <w:highlight w:val="yellow"/>
        </w:rPr>
      </w:pPr>
      <w:r>
        <w:rPr>
          <w:rFonts w:hint="default" w:ascii="Times New Roman" w:hAnsi="Times New Roman" w:eastAsia="方正仿宋_GBK" w:cs="Times New Roman"/>
          <w:color w:val="auto"/>
          <w:kern w:val="2"/>
          <w:sz w:val="32"/>
          <w:szCs w:val="32"/>
          <w:lang w:val="en-US" w:eastAsia="zh-CN" w:bidi="ar-SA"/>
        </w:rPr>
        <w:t>（</w:t>
      </w:r>
      <w:r>
        <w:rPr>
          <w:rFonts w:hint="eastAsia" w:eastAsia="方正仿宋_GBK" w:cs="Times New Roman"/>
          <w:color w:val="auto"/>
          <w:kern w:val="2"/>
          <w:sz w:val="32"/>
          <w:szCs w:val="32"/>
          <w:lang w:val="en-US" w:eastAsia="zh-CN" w:bidi="ar-SA"/>
        </w:rPr>
        <w:t>3</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sz w:val="32"/>
          <w:szCs w:val="32"/>
          <w:highlight w:val="none"/>
          <w:lang w:val="en-US" w:eastAsia="zh-CN"/>
        </w:rPr>
        <w:t>深化国企三年改革</w:t>
      </w:r>
      <w:r>
        <w:rPr>
          <w:rFonts w:hint="eastAsia" w:eastAsia="方正仿宋_GBK" w:cs="Times New Roman"/>
          <w:sz w:val="32"/>
          <w:szCs w:val="32"/>
          <w:highlight w:val="none"/>
          <w:lang w:val="en-US" w:eastAsia="zh-CN"/>
        </w:rPr>
        <w:t>。</w:t>
      </w:r>
      <w:r>
        <w:rPr>
          <w:rFonts w:hint="eastAsia" w:eastAsia="方正仿宋_GBK" w:cs="Times New Roman"/>
          <w:b/>
          <w:bCs/>
          <w:sz w:val="32"/>
          <w:szCs w:val="32"/>
          <w:highlight w:val="none"/>
          <w:lang w:val="en-US" w:eastAsia="zh-CN"/>
        </w:rPr>
        <w:t>一是</w:t>
      </w:r>
      <w:r>
        <w:rPr>
          <w:rFonts w:hint="default" w:ascii="Times New Roman" w:hAnsi="Times New Roman" w:eastAsia="方正仿宋_GBK" w:cs="Times New Roman"/>
          <w:sz w:val="32"/>
          <w:szCs w:val="32"/>
          <w:highlight w:val="none"/>
          <w:lang w:val="en-US" w:eastAsia="zh-CN"/>
        </w:rPr>
        <w:t>我区国企改革三年行动主体任务完成率已超98%</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区属国有企业在提高企业活力和效率等方面已取得新成效。</w:t>
      </w:r>
      <w:r>
        <w:rPr>
          <w:rFonts w:hint="default" w:ascii="Times New Roman" w:hAnsi="Times New Roman" w:eastAsia="方正仿宋_GBK" w:cs="Times New Roman"/>
          <w:b/>
          <w:bCs/>
          <w:sz w:val="32"/>
          <w:szCs w:val="32"/>
          <w:highlight w:val="none"/>
          <w:lang w:val="en-US" w:eastAsia="zh-CN"/>
        </w:rPr>
        <w:t>二是</w:t>
      </w:r>
      <w:r>
        <w:rPr>
          <w:rFonts w:hint="default" w:ascii="Times New Roman" w:hAnsi="Times New Roman" w:eastAsia="方正仿宋_GBK" w:cs="Times New Roman"/>
          <w:b w:val="0"/>
          <w:bCs w:val="0"/>
          <w:sz w:val="32"/>
          <w:szCs w:val="32"/>
          <w:highlight w:val="none"/>
          <w:lang w:val="en-US" w:eastAsia="zh-CN"/>
        </w:rPr>
        <w:t>持续做大国有企业主营主业</w:t>
      </w:r>
      <w:r>
        <w:rPr>
          <w:rFonts w:hint="eastAsia" w:eastAsia="方正仿宋_GBK" w:cs="Times New Roman"/>
          <w:b w:val="0"/>
          <w:bCs w:val="0"/>
          <w:sz w:val="32"/>
          <w:szCs w:val="32"/>
          <w:highlight w:val="none"/>
          <w:lang w:val="en-US" w:eastAsia="zh-CN"/>
        </w:rPr>
        <w:t>，</w:t>
      </w:r>
      <w:r>
        <w:rPr>
          <w:rFonts w:hint="eastAsia" w:eastAsia="方正仿宋_GBK" w:cs="Times New Roman"/>
          <w:sz w:val="32"/>
          <w:szCs w:val="32"/>
          <w:highlight w:val="none"/>
          <w:lang w:val="en-US" w:eastAsia="zh-CN"/>
        </w:rPr>
        <w:t>积极通过打造品牌、与</w:t>
      </w:r>
      <w:r>
        <w:rPr>
          <w:rFonts w:hint="default" w:ascii="Times New Roman" w:hAnsi="Times New Roman" w:eastAsia="方正仿宋_GBK" w:cs="Times New Roman"/>
          <w:sz w:val="32"/>
          <w:szCs w:val="32"/>
          <w:highlight w:val="none"/>
          <w:lang w:val="en-US" w:eastAsia="zh-CN"/>
        </w:rPr>
        <w:t>优质银行</w:t>
      </w:r>
      <w:r>
        <w:rPr>
          <w:rFonts w:hint="eastAsia" w:eastAsia="方正仿宋_GBK" w:cs="Times New Roman"/>
          <w:sz w:val="32"/>
          <w:szCs w:val="32"/>
          <w:highlight w:val="none"/>
          <w:lang w:val="en-US" w:eastAsia="zh-CN"/>
        </w:rPr>
        <w:t>合作</w:t>
      </w:r>
      <w:r>
        <w:rPr>
          <w:rFonts w:hint="default" w:ascii="Times New Roman" w:hAnsi="Times New Roman" w:eastAsia="方正仿宋_GBK" w:cs="Times New Roman"/>
          <w:sz w:val="32"/>
          <w:szCs w:val="32"/>
          <w:highlight w:val="none"/>
          <w:lang w:val="en-US" w:eastAsia="zh-CN"/>
        </w:rPr>
        <w:t>等方式逐步实现目标</w:t>
      </w:r>
      <w:r>
        <w:rPr>
          <w:rFonts w:hint="eastAsia" w:eastAsia="方正仿宋_GBK" w:cs="Times New Roman"/>
          <w:sz w:val="32"/>
          <w:szCs w:val="32"/>
          <w:highlight w:val="none"/>
          <w:lang w:val="en-US" w:eastAsia="zh-CN"/>
        </w:rPr>
        <w:t>。</w:t>
      </w:r>
      <w:r>
        <w:rPr>
          <w:rFonts w:hint="eastAsia" w:eastAsia="方正仿宋_GBK" w:cs="Times New Roman"/>
          <w:b/>
          <w:bCs/>
          <w:sz w:val="32"/>
          <w:szCs w:val="32"/>
          <w:highlight w:val="none"/>
          <w:lang w:val="en-US" w:eastAsia="zh-CN"/>
        </w:rPr>
        <w:t>三是</w:t>
      </w:r>
      <w:r>
        <w:rPr>
          <w:rFonts w:hint="default" w:ascii="Times New Roman" w:hAnsi="Times New Roman" w:eastAsia="方正仿宋_GBK" w:cs="Times New Roman"/>
          <w:b w:val="0"/>
          <w:bCs w:val="0"/>
          <w:sz w:val="32"/>
          <w:szCs w:val="32"/>
          <w:highlight w:val="none"/>
          <w:lang w:val="en-US" w:eastAsia="zh-CN"/>
        </w:rPr>
        <w:t>发挥产业引导基金</w:t>
      </w:r>
      <w:r>
        <w:rPr>
          <w:rFonts w:hint="eastAsia" w:ascii="Times New Roman" w:hAnsi="Times New Roman" w:eastAsia="方正仿宋_GBK" w:cs="Times New Roman"/>
          <w:b w:val="0"/>
          <w:bCs w:val="0"/>
          <w:sz w:val="32"/>
          <w:szCs w:val="32"/>
          <w:highlight w:val="none"/>
          <w:lang w:val="en-US" w:eastAsia="zh-CN"/>
        </w:rPr>
        <w:t>作用</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sz w:val="32"/>
          <w:szCs w:val="32"/>
          <w:highlight w:val="none"/>
          <w:lang w:val="en-US" w:eastAsia="zh-CN"/>
        </w:rPr>
        <w:t>已搭建规模2亿元</w:t>
      </w:r>
      <w:r>
        <w:rPr>
          <w:rFonts w:hint="eastAsia"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lang w:val="en-US" w:eastAsia="zh-CN"/>
        </w:rPr>
        <w:t>创业社区基金</w:t>
      </w:r>
      <w:r>
        <w:rPr>
          <w:rFonts w:hint="eastAsia"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目前共有</w:t>
      </w:r>
      <w:r>
        <w:rPr>
          <w:rFonts w:hint="default" w:ascii="Times New Roman" w:hAnsi="Times New Roman" w:eastAsia="方正仿宋_GBK" w:cs="Times New Roman"/>
          <w:sz w:val="32"/>
          <w:szCs w:val="32"/>
          <w:highlight w:val="none"/>
          <w:lang w:val="en-US" w:eastAsia="zh-CN"/>
        </w:rPr>
        <w:t>9个社区储备项目。</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eastAsia="方正仿宋_GBK" w:cs="Times New Roman"/>
          <w:b w:val="0"/>
          <w:bCs w:val="0"/>
          <w:sz w:val="32"/>
          <w:szCs w:val="32"/>
          <w:highlight w:val="none"/>
          <w:lang w:val="en-US" w:eastAsia="zh-CN"/>
        </w:rPr>
      </w:pPr>
      <w:r>
        <w:rPr>
          <w:rFonts w:hint="default" w:ascii="Times New Roman" w:hAnsi="Times New Roman" w:eastAsia="方正仿宋_GBK" w:cs="Times New Roman"/>
          <w:color w:val="auto"/>
          <w:kern w:val="2"/>
          <w:sz w:val="32"/>
          <w:szCs w:val="32"/>
          <w:lang w:val="en-US" w:eastAsia="zh-CN" w:bidi="ar-SA"/>
        </w:rPr>
        <w:t>（</w:t>
      </w:r>
      <w:r>
        <w:rPr>
          <w:rFonts w:hint="eastAsia" w:ascii="Times New Roman" w:hAnsi="Times New Roman" w:eastAsia="方正仿宋_GBK" w:cs="Times New Roman"/>
          <w:color w:val="auto"/>
          <w:kern w:val="2"/>
          <w:sz w:val="32"/>
          <w:szCs w:val="32"/>
          <w:lang w:val="en-US" w:eastAsia="zh-CN" w:bidi="ar-SA"/>
        </w:rPr>
        <w:t>4</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sz w:val="32"/>
          <w:szCs w:val="32"/>
          <w:highlight w:val="none"/>
          <w:lang w:val="en-US" w:eastAsia="zh-CN"/>
        </w:rPr>
        <w:t>及时落实减免政策</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b/>
          <w:bCs/>
          <w:color w:val="auto"/>
          <w:sz w:val="32"/>
          <w:szCs w:val="32"/>
          <w:highlight w:val="none"/>
          <w:lang w:val="en-US" w:eastAsia="zh-CN"/>
        </w:rPr>
        <w:t>一是</w:t>
      </w:r>
      <w:r>
        <w:rPr>
          <w:rFonts w:hint="eastAsia" w:eastAsia="方正仿宋_GBK" w:cs="Times New Roman"/>
          <w:color w:val="auto"/>
          <w:sz w:val="32"/>
          <w:szCs w:val="32"/>
          <w:highlight w:val="none"/>
          <w:lang w:val="en-US" w:eastAsia="zh-CN"/>
        </w:rPr>
        <w:t>积极落实</w:t>
      </w:r>
      <w:r>
        <w:rPr>
          <w:rFonts w:hint="default" w:ascii="Times New Roman" w:hAnsi="Times New Roman" w:eastAsia="方正仿宋_GBK" w:cs="Times New Roman"/>
          <w:color w:val="auto"/>
          <w:sz w:val="32"/>
          <w:szCs w:val="32"/>
          <w:highlight w:val="none"/>
          <w:lang w:val="en-US" w:eastAsia="zh-CN"/>
        </w:rPr>
        <w:t>房屋租金减免及停车费用减免等政策，截至</w:t>
      </w:r>
      <w:r>
        <w:rPr>
          <w:rFonts w:hint="eastAsia" w:eastAsia="方正仿宋_GBK" w:cs="Times New Roman"/>
          <w:color w:val="auto"/>
          <w:sz w:val="32"/>
          <w:szCs w:val="32"/>
          <w:highlight w:val="none"/>
          <w:lang w:val="en-US" w:eastAsia="zh-CN"/>
        </w:rPr>
        <w:t>2022年底</w:t>
      </w:r>
      <w:r>
        <w:rPr>
          <w:rFonts w:hint="default" w:ascii="Times New Roman" w:hAnsi="Times New Roman" w:eastAsia="方正仿宋_GBK" w:cs="Times New Roman"/>
          <w:color w:val="auto"/>
          <w:sz w:val="32"/>
          <w:szCs w:val="32"/>
          <w:highlight w:val="none"/>
          <w:lang w:val="en-US" w:eastAsia="zh-CN"/>
        </w:rPr>
        <w:t>，已为驻区317家服务业小微企业及个体工商户减免房屋租金4</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693.79万元、减免停车场停车费用1</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084.95万元。</w:t>
      </w:r>
      <w:r>
        <w:rPr>
          <w:rFonts w:hint="default" w:ascii="Times New Roman" w:hAnsi="Times New Roman" w:eastAsia="方正仿宋_GBK" w:cs="Times New Roman"/>
          <w:b/>
          <w:bCs/>
          <w:color w:val="auto"/>
          <w:sz w:val="32"/>
          <w:szCs w:val="32"/>
          <w:highlight w:val="none"/>
          <w:lang w:val="en-US" w:eastAsia="zh-CN"/>
        </w:rPr>
        <w:t>二是</w:t>
      </w:r>
      <w:r>
        <w:rPr>
          <w:rFonts w:hint="eastAsia" w:ascii="Times New Roman" w:hAnsi="Times New Roman" w:eastAsia="方正仿宋_GBK" w:cs="Times New Roman"/>
          <w:color w:val="auto"/>
          <w:sz w:val="32"/>
          <w:szCs w:val="32"/>
          <w:lang w:val="en-US" w:eastAsia="zh-CN"/>
        </w:rPr>
        <w:t>区属国有企业</w:t>
      </w:r>
      <w:r>
        <w:rPr>
          <w:rFonts w:hint="default" w:ascii="Times New Roman" w:hAnsi="Times New Roman" w:eastAsia="方正仿宋_GBK" w:cs="Times New Roman"/>
          <w:color w:val="auto"/>
          <w:sz w:val="32"/>
          <w:szCs w:val="32"/>
          <w:lang w:val="en-US" w:eastAsia="zh-CN"/>
        </w:rPr>
        <w:t>向区疫情指挥部捐赠价值</w:t>
      </w:r>
      <w:r>
        <w:rPr>
          <w:rFonts w:hint="default" w:ascii="Times New Roman" w:hAnsi="Times New Roman" w:eastAsia="方正仿宋_GBK" w:cs="Times New Roman"/>
          <w:color w:val="auto"/>
          <w:sz w:val="32"/>
          <w:szCs w:val="32"/>
          <w:lang w:eastAsia="zh-CN"/>
        </w:rPr>
        <w:t>3</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eastAsia="zh-CN"/>
        </w:rPr>
        <w:t>050.69万元防疫物资，</w:t>
      </w:r>
      <w:r>
        <w:rPr>
          <w:rFonts w:hint="default" w:ascii="Times New Roman" w:hAnsi="Times New Roman" w:eastAsia="方正仿宋_GBK" w:cs="Times New Roman"/>
          <w:color w:val="auto"/>
          <w:sz w:val="32"/>
          <w:szCs w:val="32"/>
          <w:lang w:val="en-US" w:eastAsia="zh-CN"/>
        </w:rPr>
        <w:t>缓解</w:t>
      </w:r>
      <w:r>
        <w:rPr>
          <w:rFonts w:hint="default" w:ascii="Times New Roman" w:hAnsi="Times New Roman" w:eastAsia="方正仿宋_GBK" w:cs="Times New Roman"/>
          <w:color w:val="auto"/>
          <w:sz w:val="32"/>
          <w:szCs w:val="32"/>
          <w:lang w:eastAsia="zh-CN"/>
        </w:rPr>
        <w:t>我区疫情防控物资需求</w:t>
      </w:r>
      <w:r>
        <w:rPr>
          <w:rFonts w:hint="default" w:ascii="Times New Roman" w:hAnsi="Times New Roman" w:eastAsia="方正仿宋_GBK" w:cs="Times New Roman"/>
          <w:color w:val="auto"/>
          <w:sz w:val="32"/>
          <w:szCs w:val="32"/>
          <w:lang w:val="en-US" w:eastAsia="zh-CN"/>
        </w:rPr>
        <w:t>压力</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b/>
          <w:bCs/>
          <w:color w:val="auto"/>
          <w:sz w:val="32"/>
          <w:szCs w:val="32"/>
          <w:highlight w:val="none"/>
          <w:lang w:val="en-US" w:eastAsia="zh-CN"/>
        </w:rPr>
        <w:t>三</w:t>
      </w:r>
      <w:r>
        <w:rPr>
          <w:rFonts w:hint="default" w:ascii="Times New Roman" w:hAnsi="Times New Roman" w:eastAsia="方正仿宋_GBK" w:cs="Times New Roman"/>
          <w:b/>
          <w:bCs/>
          <w:color w:val="auto"/>
          <w:sz w:val="32"/>
          <w:szCs w:val="32"/>
          <w:highlight w:val="none"/>
          <w:lang w:val="en-US" w:eastAsia="zh-CN"/>
        </w:rPr>
        <w:t>是</w:t>
      </w:r>
      <w:r>
        <w:rPr>
          <w:rFonts w:hint="default" w:ascii="Times New Roman" w:hAnsi="Times New Roman" w:eastAsia="方正仿宋_GBK" w:cs="Times New Roman"/>
          <w:color w:val="auto"/>
          <w:sz w:val="32"/>
          <w:szCs w:val="32"/>
          <w:highlight w:val="none"/>
          <w:lang w:val="en-US" w:eastAsia="zh-CN"/>
        </w:rPr>
        <w:t>区属国企职工</w:t>
      </w:r>
      <w:r>
        <w:rPr>
          <w:rFonts w:hint="eastAsia" w:ascii="Times New Roman" w:hAnsi="Times New Roman" w:eastAsia="方正仿宋_GBK" w:cs="Times New Roman"/>
          <w:color w:val="auto"/>
          <w:sz w:val="32"/>
          <w:szCs w:val="32"/>
          <w:highlight w:val="none"/>
          <w:lang w:val="en-US" w:eastAsia="zh-CN"/>
        </w:rPr>
        <w:t>3</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000</w:t>
      </w:r>
      <w:r>
        <w:rPr>
          <w:rFonts w:hint="default" w:ascii="Times New Roman" w:hAnsi="Times New Roman" w:eastAsia="方正仿宋_GBK" w:cs="Times New Roman"/>
          <w:color w:val="auto"/>
          <w:sz w:val="32"/>
          <w:szCs w:val="32"/>
          <w:highlight w:val="none"/>
          <w:lang w:val="en-US" w:eastAsia="zh-CN"/>
        </w:rPr>
        <w:t>余人参与疫情防控工作</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累计提供医学观察用房8</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721间。</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lang w:val="en-US" w:eastAsia="zh-CN"/>
        </w:rPr>
        <w:t>二</w:t>
      </w:r>
      <w:r>
        <w:rPr>
          <w:rFonts w:hint="default" w:ascii="Times New Roman" w:hAnsi="Times New Roman"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rPr>
        <w:t>金融企业国有资产</w:t>
      </w:r>
      <w:r>
        <w:rPr>
          <w:rFonts w:hint="default" w:ascii="Times New Roman" w:hAnsi="Times New Roman" w:eastAsia="方正楷体_GBK" w:cs="Times New Roman"/>
          <w:b w:val="0"/>
          <w:bCs w:val="0"/>
          <w:color w:val="auto"/>
          <w:sz w:val="32"/>
          <w:szCs w:val="32"/>
          <w:lang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方正仿宋_GBK" w:cs="Times New Roman"/>
          <w:b/>
          <w:bCs/>
          <w:i w:val="0"/>
          <w:caps w:val="0"/>
          <w:color w:val="auto"/>
          <w:spacing w:val="0"/>
          <w:sz w:val="32"/>
          <w:szCs w:val="32"/>
          <w:shd w:val="clear" w:fill="FFFFFF"/>
          <w:lang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1.</w:t>
      </w:r>
      <w:r>
        <w:rPr>
          <w:rFonts w:hint="default" w:ascii="Times New Roman" w:hAnsi="Times New Roman" w:eastAsia="方正仿宋_GBK" w:cs="Times New Roman"/>
          <w:b/>
          <w:bCs/>
          <w:i w:val="0"/>
          <w:caps w:val="0"/>
          <w:color w:val="auto"/>
          <w:spacing w:val="0"/>
          <w:sz w:val="32"/>
          <w:szCs w:val="32"/>
          <w:shd w:val="clear" w:fill="FFFFFF"/>
          <w:lang w:eastAsia="zh-CN"/>
        </w:rPr>
        <w:t>基本情况</w:t>
      </w:r>
    </w:p>
    <w:p>
      <w:pPr>
        <w:pStyle w:val="21"/>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line="550" w:lineRule="exact"/>
        <w:ind w:right="0" w:rightChars="0" w:firstLine="640" w:firstLineChars="200"/>
        <w:jc w:val="both"/>
        <w:textAlignment w:val="auto"/>
        <w:rPr>
          <w:rFonts w:hint="default" w:ascii="Times New Roman" w:hAnsi="Times New Roman" w:eastAsia="方正仿宋_GBK" w:cs="Times New Roman"/>
          <w:color w:val="auto"/>
          <w:w w:val="99"/>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截止202</w:t>
      </w:r>
      <w:r>
        <w:rPr>
          <w:rFonts w:hint="eastAsia" w:eastAsia="方正仿宋_GBK" w:cs="Times New Roman"/>
          <w:color w:val="auto"/>
          <w:kern w:val="2"/>
          <w:sz w:val="32"/>
          <w:szCs w:val="32"/>
          <w:lang w:val="en-US" w:eastAsia="zh-CN" w:bidi="ar-SA"/>
        </w:rPr>
        <w:t>2</w:t>
      </w:r>
      <w:r>
        <w:rPr>
          <w:rFonts w:hint="default" w:ascii="Times New Roman" w:hAnsi="Times New Roman" w:eastAsia="方正仿宋_GBK" w:cs="Times New Roman"/>
          <w:color w:val="auto"/>
          <w:kern w:val="2"/>
          <w:sz w:val="32"/>
          <w:szCs w:val="32"/>
          <w:lang w:val="en-US" w:eastAsia="zh-CN" w:bidi="ar-SA"/>
        </w:rPr>
        <w:t>年12月31日，</w:t>
      </w:r>
      <w:r>
        <w:rPr>
          <w:rFonts w:hint="eastAsia" w:eastAsia="方正仿宋_GBK" w:cs="Times New Roman"/>
          <w:color w:val="auto"/>
          <w:kern w:val="2"/>
          <w:sz w:val="32"/>
          <w:szCs w:val="32"/>
          <w:lang w:val="en-US" w:eastAsia="zh-CN" w:bidi="ar-SA"/>
        </w:rPr>
        <w:t>我</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国有资产投资控股和参股的金融企业1</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户，</w:t>
      </w:r>
      <w:r>
        <w:rPr>
          <w:rFonts w:hint="default" w:ascii="Times New Roman" w:hAnsi="Times New Roman" w:eastAsia="方正仿宋_GBK" w:cs="Times New Roman"/>
          <w:color w:val="auto"/>
          <w:kern w:val="2"/>
          <w:sz w:val="32"/>
          <w:szCs w:val="32"/>
          <w:highlight w:val="none"/>
          <w:lang w:val="en-US" w:eastAsia="zh-CN" w:bidi="ar-SA"/>
        </w:rPr>
        <w:t>资产总额</w:t>
      </w:r>
      <w:r>
        <w:rPr>
          <w:rFonts w:hint="eastAsia" w:ascii="Times New Roman" w:hAnsi="Times New Roman" w:eastAsia="方正仿宋_GBK" w:cs="Times New Roman"/>
          <w:color w:val="auto"/>
          <w:kern w:val="2"/>
          <w:sz w:val="32"/>
          <w:szCs w:val="32"/>
          <w:highlight w:val="none"/>
          <w:lang w:val="en-US" w:eastAsia="zh-CN" w:bidi="ar-SA"/>
        </w:rPr>
        <w:t>35.23</w:t>
      </w:r>
      <w:r>
        <w:rPr>
          <w:rFonts w:hint="default" w:ascii="Times New Roman" w:hAnsi="Times New Roman" w:eastAsia="方正仿宋_GBK" w:cs="Times New Roman"/>
          <w:color w:val="auto"/>
          <w:kern w:val="2"/>
          <w:sz w:val="32"/>
          <w:szCs w:val="32"/>
          <w:highlight w:val="none"/>
          <w:lang w:val="en-US" w:eastAsia="zh-CN" w:bidi="ar-SA"/>
        </w:rPr>
        <w:t>亿元，</w:t>
      </w:r>
      <w:r>
        <w:rPr>
          <w:rFonts w:hint="eastAsia" w:ascii="Times New Roman" w:hAnsi="Times New Roman" w:eastAsia="方正仿宋_GBK" w:cs="Times New Roman"/>
          <w:color w:val="auto"/>
          <w:kern w:val="2"/>
          <w:sz w:val="32"/>
          <w:szCs w:val="32"/>
          <w:highlight w:val="none"/>
          <w:lang w:val="en-US" w:eastAsia="zh-CN" w:bidi="ar-SA"/>
        </w:rPr>
        <w:t>增加52.64</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color w:val="auto"/>
          <w:kern w:val="2"/>
          <w:sz w:val="32"/>
          <w:szCs w:val="32"/>
          <w:highlight w:val="none"/>
          <w:lang w:val="en-US" w:eastAsia="zh-CN" w:bidi="ar-SA"/>
        </w:rPr>
        <w:t>负债总额1.</w:t>
      </w:r>
      <w:r>
        <w:rPr>
          <w:rFonts w:hint="eastAsia" w:ascii="Times New Roman" w:hAnsi="Times New Roman" w:eastAsia="方正仿宋_GBK" w:cs="Times New Roman"/>
          <w:color w:val="auto"/>
          <w:kern w:val="2"/>
          <w:sz w:val="32"/>
          <w:szCs w:val="32"/>
          <w:highlight w:val="none"/>
          <w:lang w:val="en-US" w:eastAsia="zh-CN" w:bidi="ar-SA"/>
        </w:rPr>
        <w:t>41</w:t>
      </w:r>
      <w:r>
        <w:rPr>
          <w:rFonts w:hint="default" w:ascii="Times New Roman" w:hAnsi="Times New Roman" w:eastAsia="方正仿宋_GBK" w:cs="Times New Roman"/>
          <w:color w:val="auto"/>
          <w:kern w:val="2"/>
          <w:sz w:val="32"/>
          <w:szCs w:val="32"/>
          <w:highlight w:val="none"/>
          <w:lang w:val="en-US" w:eastAsia="zh-CN" w:bidi="ar-SA"/>
        </w:rPr>
        <w:t>亿元，</w:t>
      </w:r>
      <w:r>
        <w:rPr>
          <w:rFonts w:hint="eastAsia" w:ascii="Times New Roman" w:hAnsi="Times New Roman" w:eastAsia="方正仿宋_GBK" w:cs="Times New Roman"/>
          <w:color w:val="auto"/>
          <w:kern w:val="2"/>
          <w:sz w:val="32"/>
          <w:szCs w:val="32"/>
          <w:highlight w:val="none"/>
          <w:lang w:val="en-US" w:eastAsia="zh-CN" w:bidi="ar-SA"/>
        </w:rPr>
        <w:t>减少24.19</w:t>
      </w:r>
      <w:r>
        <w:rPr>
          <w:rFonts w:hint="default" w:ascii="Times New Roman" w:hAnsi="Times New Roman" w:eastAsia="方正仿宋_GBK" w:cs="Times New Roman"/>
          <w:color w:val="auto"/>
          <w:kern w:val="2"/>
          <w:sz w:val="32"/>
          <w:szCs w:val="32"/>
          <w:highlight w:val="none"/>
          <w:lang w:val="en-US" w:eastAsia="zh-CN" w:bidi="ar-SA"/>
        </w:rPr>
        <w:t>%；净资产</w:t>
      </w:r>
      <w:r>
        <w:rPr>
          <w:rFonts w:hint="eastAsia" w:ascii="Times New Roman" w:hAnsi="Times New Roman" w:eastAsia="方正仿宋_GBK" w:cs="Times New Roman"/>
          <w:color w:val="auto"/>
          <w:kern w:val="2"/>
          <w:sz w:val="32"/>
          <w:szCs w:val="32"/>
          <w:highlight w:val="none"/>
          <w:lang w:val="en-US" w:eastAsia="zh-CN" w:bidi="ar-SA"/>
        </w:rPr>
        <w:t>33.82</w:t>
      </w:r>
      <w:r>
        <w:rPr>
          <w:rFonts w:hint="default" w:ascii="Times New Roman" w:hAnsi="Times New Roman" w:eastAsia="方正仿宋_GBK" w:cs="Times New Roman"/>
          <w:color w:val="auto"/>
          <w:kern w:val="2"/>
          <w:sz w:val="32"/>
          <w:szCs w:val="32"/>
          <w:highlight w:val="none"/>
          <w:lang w:val="en-US" w:eastAsia="zh-CN" w:bidi="ar-SA"/>
        </w:rPr>
        <w:t>亿元，增长</w:t>
      </w:r>
      <w:r>
        <w:rPr>
          <w:rFonts w:hint="eastAsia" w:ascii="Times New Roman" w:hAnsi="Times New Roman" w:eastAsia="方正仿宋_GBK" w:cs="Times New Roman"/>
          <w:color w:val="auto"/>
          <w:kern w:val="2"/>
          <w:sz w:val="32"/>
          <w:szCs w:val="32"/>
          <w:highlight w:val="none"/>
          <w:lang w:val="en-US" w:eastAsia="zh-CN" w:bidi="ar-SA"/>
        </w:rPr>
        <w:t>59.45</w:t>
      </w:r>
      <w:r>
        <w:rPr>
          <w:rFonts w:hint="default" w:ascii="Times New Roman" w:hAnsi="Times New Roman" w:eastAsia="方正仿宋_GBK" w:cs="Times New Roman"/>
          <w:color w:val="auto"/>
          <w:kern w:val="2"/>
          <w:sz w:val="32"/>
          <w:szCs w:val="32"/>
          <w:highlight w:val="none"/>
          <w:lang w:val="en-US" w:eastAsia="zh-CN" w:bidi="ar-SA"/>
        </w:rPr>
        <w:t>%</w:t>
      </w:r>
      <w:r>
        <w:rPr>
          <w:rFonts w:hint="eastAsia" w:ascii="Times New Roman" w:hAnsi="Times New Roman" w:eastAsia="方正仿宋_GBK" w:cs="Times New Roman"/>
          <w:color w:val="auto"/>
          <w:kern w:val="2"/>
          <w:sz w:val="32"/>
          <w:szCs w:val="32"/>
          <w:highlight w:val="none"/>
          <w:lang w:val="en-US" w:eastAsia="zh-CN" w:bidi="ar-SA"/>
        </w:rPr>
        <w:t>；</w:t>
      </w:r>
      <w:r>
        <w:rPr>
          <w:rFonts w:hint="default" w:ascii="Times New Roman" w:hAnsi="Times New Roman" w:eastAsia="方正仿宋_GBK" w:cs="Times New Roman"/>
          <w:sz w:val="32"/>
          <w:szCs w:val="32"/>
          <w:highlight w:val="none"/>
        </w:rPr>
        <w:t>总认缴注册资本金14</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.92亿元，</w:t>
      </w:r>
      <w:r>
        <w:rPr>
          <w:rFonts w:hint="default" w:ascii="Times New Roman" w:hAnsi="Times New Roman" w:eastAsia="方正仿宋_GBK" w:cs="Times New Roman"/>
          <w:color w:val="auto"/>
          <w:kern w:val="2"/>
          <w:sz w:val="32"/>
          <w:szCs w:val="32"/>
          <w:highlight w:val="none"/>
          <w:lang w:val="en-US" w:eastAsia="zh-CN" w:bidi="ar-SA"/>
        </w:rPr>
        <w:t>国有金融资本总额</w:t>
      </w:r>
      <w:r>
        <w:rPr>
          <w:rFonts w:hint="eastAsia" w:ascii="Times New Roman" w:hAnsi="Times New Roman" w:eastAsia="方正仿宋_GBK" w:cs="Times New Roman"/>
          <w:color w:val="auto"/>
          <w:kern w:val="2"/>
          <w:sz w:val="32"/>
          <w:szCs w:val="32"/>
          <w:highlight w:val="none"/>
          <w:lang w:val="en-US" w:eastAsia="zh-CN" w:bidi="ar-SA"/>
        </w:rPr>
        <w:t>49.33</w:t>
      </w:r>
      <w:r>
        <w:rPr>
          <w:rFonts w:hint="default" w:ascii="Times New Roman" w:hAnsi="Times New Roman" w:eastAsia="方正仿宋_GBK" w:cs="Times New Roman"/>
          <w:color w:val="auto"/>
          <w:kern w:val="2"/>
          <w:sz w:val="32"/>
          <w:szCs w:val="32"/>
          <w:highlight w:val="none"/>
          <w:lang w:val="en-US" w:eastAsia="zh-CN" w:bidi="ar-SA"/>
        </w:rPr>
        <w:t>亿元，</w:t>
      </w:r>
      <w:r>
        <w:rPr>
          <w:rFonts w:hint="default" w:ascii="Times New Roman" w:hAnsi="Times New Roman" w:eastAsia="方正仿宋_GBK" w:cs="Times New Roman"/>
          <w:sz w:val="32"/>
          <w:szCs w:val="32"/>
          <w:highlight w:val="none"/>
        </w:rPr>
        <w:t>各级财政部门直接投资总金额为0。</w:t>
      </w:r>
      <w:r>
        <w:rPr>
          <w:rFonts w:hint="eastAsia" w:eastAsia="方正仿宋_GBK" w:cs="Times New Roman"/>
          <w:color w:val="auto"/>
          <w:kern w:val="2"/>
          <w:sz w:val="32"/>
          <w:szCs w:val="32"/>
          <w:lang w:val="en-US" w:eastAsia="zh-CN" w:bidi="ar-SA"/>
        </w:rPr>
        <w:t>（详见表3）</w:t>
      </w:r>
    </w:p>
    <w:p>
      <w:pPr>
        <w:pageBreakBefore w:val="0"/>
        <w:tabs>
          <w:tab w:val="left" w:pos="8200"/>
        </w:tabs>
        <w:kinsoku/>
        <w:wordWrap/>
        <w:overflowPunct/>
        <w:topLinePunct w:val="0"/>
        <w:autoSpaceDE/>
        <w:autoSpaceDN/>
        <w:bidi w:val="0"/>
        <w:spacing w:line="560" w:lineRule="exact"/>
        <w:ind w:right="105" w:rightChars="50" w:firstLine="48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4"/>
          <w:szCs w:val="24"/>
          <w:lang w:val="en-US" w:eastAsia="zh-CN"/>
        </w:rPr>
        <w:t>表3 ：</w:t>
      </w:r>
      <w:r>
        <w:rPr>
          <w:rFonts w:hint="default" w:ascii="Times New Roman" w:hAnsi="Times New Roman" w:eastAsia="方正仿宋_GBK" w:cs="Times New Roman"/>
          <w:color w:val="auto"/>
          <w:sz w:val="24"/>
          <w:szCs w:val="24"/>
        </w:rPr>
        <w:t>金融企业资产负债及</w:t>
      </w:r>
      <w:r>
        <w:rPr>
          <w:rFonts w:hint="eastAsia" w:eastAsia="方正仿宋_GBK" w:cs="Times New Roman"/>
          <w:color w:val="auto"/>
          <w:sz w:val="24"/>
          <w:szCs w:val="24"/>
          <w:lang w:eastAsia="zh-CN"/>
        </w:rPr>
        <w:t>国有金融资本</w:t>
      </w:r>
      <w:r>
        <w:rPr>
          <w:rFonts w:hint="default" w:ascii="Times New Roman" w:hAnsi="Times New Roman" w:eastAsia="方正仿宋_GBK" w:cs="Times New Roman"/>
          <w:color w:val="auto"/>
          <w:sz w:val="24"/>
          <w:szCs w:val="24"/>
        </w:rPr>
        <w:t xml:space="preserve">统计表    </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单位：亿元</w:t>
      </w:r>
    </w:p>
    <w:tbl>
      <w:tblPr>
        <w:tblStyle w:val="14"/>
        <w:tblW w:w="8921"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206"/>
        <w:gridCol w:w="1370"/>
        <w:gridCol w:w="1216"/>
        <w:gridCol w:w="1099"/>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金融企业</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资产总额</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负债总额</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净资产</w:t>
            </w: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注册资本</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eastAsia="zh-CN"/>
              </w:rPr>
            </w:pPr>
            <w:r>
              <w:rPr>
                <w:rFonts w:hint="default" w:ascii="Times New Roman" w:hAnsi="Times New Roman" w:eastAsia="方正仿宋_GBK" w:cs="Times New Roman"/>
                <w:sz w:val="21"/>
                <w:szCs w:val="21"/>
              </w:rPr>
              <w:t>国有金融资本总金额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105" w:leftChars="-5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金融资产管理公司</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right="120" w:rightChars="0"/>
              <w:jc w:val="center"/>
              <w:textAlignment w:val="auto"/>
              <w:rPr>
                <w:rFonts w:hint="default" w:ascii="Times New Roman" w:hAnsi="Times New Roman" w:eastAsia="方正仿宋_GBK" w:cs="Times New Roman"/>
                <w:color w:val="auto"/>
                <w:sz w:val="21"/>
                <w:szCs w:val="21"/>
                <w:lang w:val="en-US" w:eastAsia="zh-CN"/>
              </w:rPr>
            </w:pPr>
            <w:r>
              <w:rPr>
                <w:rFonts w:hint="eastAsia" w:eastAsia="方正仿宋_GBK" w:cs="Times New Roman"/>
                <w:color w:val="auto"/>
                <w:sz w:val="21"/>
                <w:szCs w:val="21"/>
                <w:lang w:val="en-US" w:eastAsia="zh-CN"/>
              </w:rPr>
              <w:t xml:space="preserve"> </w:t>
            </w:r>
            <w:r>
              <w:rPr>
                <w:rFonts w:hint="default" w:ascii="Times New Roman" w:hAnsi="Times New Roman" w:eastAsia="方正仿宋_GBK" w:cs="Times New Roman"/>
                <w:color w:val="auto"/>
                <w:sz w:val="21"/>
                <w:szCs w:val="21"/>
                <w:lang w:val="en-US" w:eastAsia="zh-CN"/>
              </w:rPr>
              <w:t>30.77</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0.7</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30.07</w:t>
            </w: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143.42</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45.83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105" w:leftChars="-5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担保类</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105" w:leftChars="-50" w:right="120" w:rightChars="0"/>
              <w:jc w:val="center"/>
              <w:textAlignment w:val="auto"/>
              <w:rPr>
                <w:rFonts w:hint="default" w:ascii="Times New Roman" w:hAnsi="Times New Roman" w:eastAsia="方正仿宋_GBK" w:cs="Times New Roman"/>
                <w:color w:val="auto"/>
                <w:sz w:val="21"/>
                <w:szCs w:val="21"/>
                <w:lang w:val="en-US" w:eastAsia="zh-CN"/>
              </w:rPr>
            </w:pPr>
            <w:r>
              <w:rPr>
                <w:rFonts w:hint="eastAsia" w:eastAsia="方正仿宋_GBK" w:cs="Times New Roman"/>
                <w:color w:val="auto"/>
                <w:sz w:val="21"/>
                <w:szCs w:val="21"/>
                <w:lang w:val="en-US" w:eastAsia="zh-CN"/>
              </w:rPr>
              <w:t xml:space="preserve">  </w:t>
            </w:r>
            <w:r>
              <w:rPr>
                <w:rFonts w:hint="default" w:ascii="Times New Roman" w:hAnsi="Times New Roman" w:eastAsia="方正仿宋_GBK" w:cs="Times New Roman"/>
                <w:color w:val="auto"/>
                <w:sz w:val="21"/>
                <w:szCs w:val="21"/>
                <w:lang w:val="en-US" w:eastAsia="zh-CN"/>
              </w:rPr>
              <w:t>4.46</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105" w:leftChars="-5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0.71</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105" w:leftChars="-50"/>
              <w:jc w:val="center"/>
              <w:textAlignment w:val="auto"/>
              <w:rPr>
                <w:rFonts w:hint="default" w:ascii="Times New Roman" w:hAnsi="Times New Roman" w:eastAsia="方正仿宋_GBK" w:cs="Times New Roman"/>
                <w:color w:val="auto"/>
                <w:sz w:val="21"/>
                <w:szCs w:val="21"/>
                <w:lang w:val="en-US" w:eastAsia="zh-CN"/>
              </w:rPr>
            </w:pPr>
            <w:r>
              <w:rPr>
                <w:rFonts w:hint="eastAsia" w:eastAsia="方正仿宋_GBK" w:cs="Times New Roman"/>
                <w:color w:val="auto"/>
                <w:sz w:val="21"/>
                <w:szCs w:val="21"/>
                <w:lang w:val="en-US" w:eastAsia="zh-CN"/>
              </w:rPr>
              <w:t xml:space="preserve"> </w:t>
            </w:r>
            <w:r>
              <w:rPr>
                <w:rFonts w:hint="default" w:ascii="Times New Roman" w:hAnsi="Times New Roman" w:eastAsia="方正仿宋_GBK" w:cs="Times New Roman"/>
                <w:color w:val="auto"/>
                <w:sz w:val="21"/>
                <w:szCs w:val="21"/>
                <w:lang w:val="en-US" w:eastAsia="zh-CN"/>
              </w:rPr>
              <w:t>3.75</w:t>
            </w: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105" w:leftChars="-50"/>
              <w:jc w:val="center"/>
              <w:textAlignment w:val="auto"/>
              <w:rPr>
                <w:rFonts w:hint="default" w:ascii="Times New Roman" w:hAnsi="Times New Roman" w:eastAsia="方正仿宋_GBK" w:cs="Times New Roman"/>
                <w:color w:val="auto"/>
                <w:sz w:val="21"/>
                <w:szCs w:val="21"/>
              </w:rPr>
            </w:pPr>
            <w:r>
              <w:rPr>
                <w:rFonts w:hint="eastAsia" w:eastAsia="方正仿宋_GBK" w:cs="Times New Roman"/>
                <w:color w:val="auto"/>
                <w:sz w:val="21"/>
                <w:szCs w:val="21"/>
                <w:lang w:val="en-US" w:eastAsia="zh-CN"/>
              </w:rPr>
              <w:t xml:space="preserve"> </w:t>
            </w:r>
            <w:r>
              <w:rPr>
                <w:rFonts w:hint="default" w:ascii="Times New Roman" w:hAnsi="Times New Roman" w:eastAsia="方正仿宋_GBK" w:cs="Times New Roman"/>
                <w:color w:val="auto"/>
                <w:sz w:val="21"/>
                <w:szCs w:val="21"/>
              </w:rPr>
              <w:t>3.5</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105" w:leftChars="-50"/>
              <w:jc w:val="center"/>
              <w:textAlignment w:val="auto"/>
              <w:rPr>
                <w:rFonts w:hint="default" w:ascii="Times New Roman" w:hAnsi="Times New Roman" w:eastAsia="方正仿宋_GBK" w:cs="Times New Roman"/>
                <w:color w:val="auto"/>
                <w:sz w:val="21"/>
                <w:szCs w:val="21"/>
                <w:lang w:val="en-US" w:eastAsia="zh-CN"/>
              </w:rPr>
            </w:pPr>
            <w:r>
              <w:rPr>
                <w:rFonts w:hint="eastAsia" w:eastAsia="方正仿宋_GBK" w:cs="Times New Roman"/>
                <w:color w:val="auto"/>
                <w:sz w:val="21"/>
                <w:szCs w:val="21"/>
                <w:lang w:val="en-US" w:eastAsia="zh-CN"/>
              </w:rPr>
              <w:t xml:space="preserve">  </w:t>
            </w:r>
            <w:r>
              <w:rPr>
                <w:rFonts w:hint="default" w:ascii="Times New Roman" w:hAnsi="Times New Roman" w:eastAsia="方正仿宋_GBK" w:cs="Times New Roman"/>
                <w:color w:val="auto"/>
                <w:sz w:val="21"/>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8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105" w:leftChars="-5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合计</w:t>
            </w:r>
          </w:p>
        </w:tc>
        <w:tc>
          <w:tcPr>
            <w:tcW w:w="12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105" w:leftChars="-50" w:right="120" w:rightChars="0"/>
              <w:jc w:val="center"/>
              <w:textAlignment w:val="auto"/>
              <w:rPr>
                <w:rFonts w:hint="default" w:ascii="Times New Roman" w:hAnsi="Times New Roman" w:eastAsia="方正仿宋_GBK" w:cs="Times New Roman"/>
                <w:color w:val="auto"/>
                <w:sz w:val="21"/>
                <w:szCs w:val="21"/>
                <w:lang w:val="en-US" w:eastAsia="zh-CN"/>
              </w:rPr>
            </w:pPr>
            <w:r>
              <w:rPr>
                <w:rFonts w:hint="eastAsia" w:eastAsia="方正仿宋_GBK" w:cs="Times New Roman"/>
                <w:color w:val="auto"/>
                <w:sz w:val="21"/>
                <w:szCs w:val="21"/>
                <w:lang w:val="en-US" w:eastAsia="zh-CN"/>
              </w:rPr>
              <w:t xml:space="preserve"> </w:t>
            </w:r>
            <w:r>
              <w:rPr>
                <w:rFonts w:hint="default" w:ascii="Times New Roman" w:hAnsi="Times New Roman" w:eastAsia="方正仿宋_GBK" w:cs="Times New Roman"/>
                <w:color w:val="auto"/>
                <w:sz w:val="21"/>
                <w:szCs w:val="21"/>
                <w:lang w:val="en-US" w:eastAsia="zh-CN"/>
              </w:rPr>
              <w:t>35.23</w:t>
            </w:r>
          </w:p>
        </w:tc>
        <w:tc>
          <w:tcPr>
            <w:tcW w:w="13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105" w:leftChars="-50"/>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1.41</w:t>
            </w:r>
          </w:p>
        </w:tc>
        <w:tc>
          <w:tcPr>
            <w:tcW w:w="12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105" w:leftChars="-50"/>
              <w:jc w:val="center"/>
              <w:textAlignment w:val="auto"/>
              <w:rPr>
                <w:rFonts w:hint="default" w:ascii="Times New Roman" w:hAnsi="Times New Roman" w:eastAsia="方正仿宋_GBK" w:cs="Times New Roman"/>
                <w:color w:val="auto"/>
                <w:sz w:val="21"/>
                <w:szCs w:val="21"/>
                <w:lang w:val="en-US" w:eastAsia="zh-CN"/>
              </w:rPr>
            </w:pPr>
            <w:r>
              <w:rPr>
                <w:rFonts w:hint="eastAsia" w:eastAsia="方正仿宋_GBK" w:cs="Times New Roman"/>
                <w:color w:val="auto"/>
                <w:sz w:val="21"/>
                <w:szCs w:val="21"/>
                <w:lang w:val="en-US" w:eastAsia="zh-CN"/>
              </w:rPr>
              <w:t xml:space="preserve"> </w:t>
            </w:r>
            <w:r>
              <w:rPr>
                <w:rFonts w:hint="default" w:ascii="Times New Roman" w:hAnsi="Times New Roman" w:eastAsia="方正仿宋_GBK" w:cs="Times New Roman"/>
                <w:color w:val="auto"/>
                <w:sz w:val="21"/>
                <w:szCs w:val="21"/>
                <w:lang w:val="en-US" w:eastAsia="zh-CN"/>
              </w:rPr>
              <w:t>33.82</w:t>
            </w:r>
          </w:p>
        </w:tc>
        <w:tc>
          <w:tcPr>
            <w:tcW w:w="10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105" w:leftChars="-50"/>
              <w:jc w:val="center"/>
              <w:textAlignment w:val="auto"/>
              <w:rPr>
                <w:rFonts w:hint="default" w:ascii="Times New Roman" w:hAnsi="Times New Roman" w:eastAsia="方正仿宋_GBK" w:cs="Times New Roman"/>
                <w:color w:val="auto"/>
                <w:sz w:val="21"/>
                <w:szCs w:val="21"/>
                <w:lang w:val="en-US" w:eastAsia="zh-CN"/>
              </w:rPr>
            </w:pPr>
            <w:r>
              <w:rPr>
                <w:rFonts w:hint="eastAsia" w:eastAsia="方正仿宋_GBK" w:cs="Times New Roman"/>
                <w:color w:val="auto"/>
                <w:sz w:val="21"/>
                <w:szCs w:val="21"/>
                <w:lang w:val="en-US" w:eastAsia="zh-CN"/>
              </w:rPr>
              <w:t xml:space="preserve"> </w:t>
            </w:r>
            <w:r>
              <w:rPr>
                <w:rFonts w:hint="default" w:ascii="Times New Roman" w:hAnsi="Times New Roman" w:eastAsia="方正仿宋_GBK" w:cs="Times New Roman"/>
                <w:color w:val="auto"/>
                <w:sz w:val="21"/>
                <w:szCs w:val="21"/>
                <w:lang w:val="en-US" w:eastAsia="zh-CN"/>
              </w:rPr>
              <w:t>146.92</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left="-105" w:leftChars="-50"/>
              <w:jc w:val="center"/>
              <w:textAlignment w:val="auto"/>
              <w:rPr>
                <w:rFonts w:hint="default" w:ascii="Times New Roman" w:hAnsi="Times New Roman" w:eastAsia="方正仿宋_GBK" w:cs="Times New Roman"/>
                <w:color w:val="auto"/>
                <w:sz w:val="21"/>
                <w:szCs w:val="21"/>
                <w:lang w:val="en-US" w:eastAsia="zh-CN"/>
              </w:rPr>
            </w:pPr>
            <w:r>
              <w:rPr>
                <w:rFonts w:hint="eastAsia" w:eastAsia="方正仿宋_GBK" w:cs="Times New Roman"/>
                <w:color w:val="auto"/>
                <w:sz w:val="21"/>
                <w:szCs w:val="21"/>
                <w:lang w:val="en-US" w:eastAsia="zh-CN"/>
              </w:rPr>
              <w:t xml:space="preserve"> </w:t>
            </w:r>
            <w:r>
              <w:rPr>
                <w:rFonts w:hint="default" w:ascii="Times New Roman" w:hAnsi="Times New Roman" w:eastAsia="方正仿宋_GBK" w:cs="Times New Roman"/>
                <w:color w:val="auto"/>
                <w:sz w:val="21"/>
                <w:szCs w:val="21"/>
                <w:lang w:val="en-US" w:eastAsia="zh-CN"/>
              </w:rPr>
              <w:t>49.33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3" w:firstLineChars="200"/>
        <w:textAlignment w:val="auto"/>
        <w:rPr>
          <w:rFonts w:hint="default" w:ascii="Times New Roman" w:hAnsi="Times New Roman" w:eastAsia="方正仿宋_GBK" w:cs="Times New Roman"/>
          <w:b/>
          <w:bCs/>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2.金融企业管理情况</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right="0" w:rightChars="0" w:firstLine="64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提高企业风控管理能力，提升担保业务质量。</w:t>
      </w:r>
      <w:r>
        <w:rPr>
          <w:rFonts w:hint="default" w:ascii="Times New Roman" w:hAnsi="Times New Roman" w:eastAsia="方正仿宋_GBK" w:cs="Times New Roman"/>
          <w:b/>
          <w:bCs/>
          <w:color w:val="auto"/>
          <w:kern w:val="2"/>
          <w:sz w:val="32"/>
          <w:szCs w:val="32"/>
          <w:lang w:val="en-US" w:eastAsia="zh-CN" w:bidi="ar-SA"/>
        </w:rPr>
        <w:t>一是</w:t>
      </w:r>
      <w:r>
        <w:rPr>
          <w:rFonts w:hint="default" w:ascii="Times New Roman" w:hAnsi="Times New Roman" w:eastAsia="方正仿宋_GBK" w:cs="Times New Roman"/>
          <w:color w:val="auto"/>
          <w:kern w:val="2"/>
          <w:sz w:val="32"/>
          <w:szCs w:val="32"/>
          <w:lang w:val="en-US" w:eastAsia="zh-CN" w:bidi="ar-SA"/>
        </w:rPr>
        <w:t>正常开展金融业务的企业，做到风控措施完备、资金来源和用途合法合规、不存在违法、违规操作现象。</w:t>
      </w:r>
      <w:r>
        <w:rPr>
          <w:rFonts w:hint="default" w:ascii="Times New Roman" w:hAnsi="Times New Roman" w:eastAsia="方正仿宋_GBK" w:cs="Times New Roman"/>
          <w:b/>
          <w:bCs/>
          <w:color w:val="auto"/>
          <w:kern w:val="2"/>
          <w:sz w:val="32"/>
          <w:szCs w:val="32"/>
          <w:lang w:val="en-US" w:eastAsia="zh-CN" w:bidi="ar-SA"/>
        </w:rPr>
        <w:t>二是</w:t>
      </w:r>
      <w:r>
        <w:rPr>
          <w:rFonts w:hint="default" w:ascii="Times New Roman" w:hAnsi="Times New Roman" w:eastAsia="方正仿宋_GBK" w:cs="Times New Roman"/>
          <w:color w:val="auto"/>
          <w:kern w:val="2"/>
          <w:sz w:val="32"/>
          <w:szCs w:val="32"/>
          <w:lang w:val="en-US" w:eastAsia="zh-CN" w:bidi="ar-SA"/>
        </w:rPr>
        <w:t>各家参控股企业在开展业务前，对拟合作公司资质的真实性、合法性、可转让性、完整性四个方面进行风险评审。</w:t>
      </w:r>
      <w:r>
        <w:rPr>
          <w:rFonts w:hint="default" w:ascii="Times New Roman" w:hAnsi="Times New Roman" w:eastAsia="方正仿宋_GBK" w:cs="Times New Roman"/>
          <w:b/>
          <w:bCs/>
          <w:color w:val="auto"/>
          <w:kern w:val="2"/>
          <w:sz w:val="32"/>
          <w:szCs w:val="32"/>
          <w:lang w:val="en-US" w:eastAsia="zh-CN" w:bidi="ar-SA"/>
        </w:rPr>
        <w:t>三是</w:t>
      </w:r>
      <w:r>
        <w:rPr>
          <w:rFonts w:hint="default" w:ascii="Times New Roman" w:hAnsi="Times New Roman" w:eastAsia="方正仿宋_GBK" w:cs="Times New Roman"/>
          <w:color w:val="auto"/>
          <w:kern w:val="2"/>
          <w:sz w:val="32"/>
          <w:szCs w:val="32"/>
          <w:lang w:val="en-US" w:eastAsia="zh-CN" w:bidi="ar-SA"/>
        </w:rPr>
        <w:t>担保类和小贷类公司保持追偿强度，创新担保产品，大力开展小额担保业务，分散降低担保风险。</w:t>
      </w:r>
    </w:p>
    <w:p>
      <w:pPr>
        <w:pStyle w:val="8"/>
        <w:keepNext w:val="0"/>
        <w:keepLines w:val="0"/>
        <w:pageBreakBefore w:val="0"/>
        <w:kinsoku/>
        <w:wordWrap/>
        <w:overflowPunct/>
        <w:topLinePunct w:val="0"/>
        <w:autoSpaceDE/>
        <w:autoSpaceDN/>
        <w:bidi w:val="0"/>
        <w:spacing w:line="550" w:lineRule="exact"/>
        <w:ind w:firstLine="640" w:firstLineChars="200"/>
        <w:textAlignment w:val="auto"/>
        <w:rPr>
          <w:rFonts w:hint="default" w:ascii="Times New Roman" w:hAnsi="Times New Roman" w:eastAsia="方正楷体_GBK" w:cs="Times New Roman"/>
          <w:b w:val="0"/>
          <w:bCs w:val="0"/>
          <w:color w:val="auto"/>
          <w:sz w:val="32"/>
          <w:szCs w:val="32"/>
          <w:lang w:eastAsia="zh-CN"/>
        </w:rPr>
      </w:pPr>
      <w:r>
        <w:rPr>
          <w:rFonts w:hint="default" w:ascii="Times New Roman" w:hAnsi="Times New Roman" w:eastAsia="方正楷体_GBK" w:cs="Times New Roman"/>
          <w:b w:val="0"/>
          <w:bCs w:val="0"/>
          <w:color w:val="auto"/>
          <w:sz w:val="32"/>
          <w:szCs w:val="32"/>
          <w:lang w:val="en-US" w:eastAsia="zh-CN"/>
        </w:rPr>
        <w:t>（三）</w:t>
      </w:r>
      <w:r>
        <w:rPr>
          <w:rFonts w:hint="default" w:ascii="Times New Roman" w:hAnsi="Times New Roman" w:eastAsia="方正楷体_GBK" w:cs="Times New Roman"/>
          <w:b w:val="0"/>
          <w:bCs w:val="0"/>
          <w:color w:val="auto"/>
          <w:sz w:val="32"/>
          <w:szCs w:val="32"/>
        </w:rPr>
        <w:t>行政事业性国有资产</w:t>
      </w:r>
      <w:r>
        <w:rPr>
          <w:rFonts w:hint="default" w:ascii="Times New Roman" w:hAnsi="Times New Roman" w:eastAsia="方正楷体_GBK" w:cs="Times New Roman"/>
          <w:b w:val="0"/>
          <w:bCs w:val="0"/>
          <w:color w:val="auto"/>
          <w:sz w:val="32"/>
          <w:szCs w:val="32"/>
          <w:lang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0" w:leftChars="0" w:firstLine="643" w:firstLineChars="200"/>
        <w:textAlignment w:val="auto"/>
        <w:rPr>
          <w:rFonts w:hint="default" w:ascii="Times New Roman" w:hAnsi="Times New Roman" w:eastAsia="方正仿宋_GBK" w:cs="Times New Roman"/>
          <w:b/>
          <w:bCs/>
          <w:i w:val="0"/>
          <w:caps w:val="0"/>
          <w:color w:val="auto"/>
          <w:spacing w:val="0"/>
          <w:sz w:val="32"/>
          <w:szCs w:val="32"/>
          <w:shd w:val="clear" w:fill="FFFFFF"/>
          <w:lang w:val="en-US" w:eastAsia="zh-CN"/>
        </w:rPr>
      </w:pPr>
      <w:r>
        <w:rPr>
          <w:rFonts w:hint="default" w:ascii="Times New Roman" w:hAnsi="Times New Roman" w:eastAsia="方正仿宋_GBK" w:cs="Times New Roman"/>
          <w:b/>
          <w:bCs/>
          <w:i w:val="0"/>
          <w:caps w:val="0"/>
          <w:color w:val="auto"/>
          <w:spacing w:val="0"/>
          <w:sz w:val="32"/>
          <w:szCs w:val="32"/>
          <w:shd w:val="clear" w:fill="FFFFFF"/>
          <w:lang w:val="en-US" w:eastAsia="zh-CN"/>
        </w:rPr>
        <w:t>1.基本情况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经开区（头屯河区）202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年共有11</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sz w:val="32"/>
          <w:szCs w:val="32"/>
        </w:rPr>
        <w:t>家行政事业单位参加此次资产</w:t>
      </w:r>
      <w:r>
        <w:rPr>
          <w:rFonts w:hint="eastAsia" w:ascii="Times New Roman" w:hAnsi="Times New Roman" w:eastAsia="方正仿宋_GBK" w:cs="Times New Roman"/>
          <w:sz w:val="32"/>
          <w:szCs w:val="32"/>
        </w:rPr>
        <w:t>年报</w:t>
      </w:r>
      <w:r>
        <w:rPr>
          <w:rFonts w:ascii="Times New Roman" w:hAnsi="Times New Roman" w:eastAsia="方正仿宋_GBK" w:cs="Times New Roman"/>
          <w:sz w:val="32"/>
          <w:szCs w:val="32"/>
        </w:rPr>
        <w:t>上报工作。独立核算机构数11</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个，其中：行政6</w:t>
      </w:r>
      <w:r>
        <w:rPr>
          <w:rFonts w:hint="eastAsia" w:ascii="Times New Roman" w:hAnsi="Times New Roman" w:eastAsia="方正仿宋_GBK" w:cs="Times New Roman"/>
          <w:sz w:val="32"/>
          <w:szCs w:val="32"/>
          <w:lang w:val="en-US" w:eastAsia="zh-CN"/>
        </w:rPr>
        <w:t>1</w:t>
      </w:r>
      <w:r>
        <w:rPr>
          <w:rFonts w:ascii="Times New Roman" w:hAnsi="Times New Roman" w:eastAsia="方正仿宋_GBK" w:cs="Times New Roman"/>
          <w:sz w:val="32"/>
          <w:szCs w:val="32"/>
        </w:rPr>
        <w:t>个，事业5</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个。全区在职人员编制人数</w:t>
      </w:r>
      <w:r>
        <w:rPr>
          <w:rFonts w:hint="eastAsia" w:ascii="Times New Roman" w:hAnsi="Times New Roman" w:eastAsia="方正仿宋_GBK" w:cs="Times New Roman"/>
          <w:sz w:val="32"/>
          <w:szCs w:val="32"/>
          <w:lang w:val="en-US" w:eastAsia="zh-CN"/>
        </w:rPr>
        <w:t>9,356</w:t>
      </w:r>
      <w:r>
        <w:rPr>
          <w:rFonts w:ascii="Times New Roman" w:hAnsi="Times New Roman" w:eastAsia="方正仿宋_GBK" w:cs="Times New Roman"/>
          <w:sz w:val="32"/>
          <w:szCs w:val="32"/>
        </w:rPr>
        <w:t>人，年末实有人数</w:t>
      </w:r>
      <w:r>
        <w:rPr>
          <w:rFonts w:hint="eastAsia" w:ascii="Times New Roman" w:hAnsi="Times New Roman" w:eastAsia="方正仿宋_GBK" w:cs="Times New Roman"/>
          <w:sz w:val="32"/>
          <w:szCs w:val="32"/>
          <w:lang w:val="en-US" w:eastAsia="zh-CN"/>
        </w:rPr>
        <w:t>9,900</w:t>
      </w:r>
      <w:r>
        <w:rPr>
          <w:rFonts w:ascii="Times New Roman" w:hAnsi="Times New Roman" w:eastAsia="方正仿宋_GBK" w:cs="Times New Roman"/>
          <w:sz w:val="32"/>
          <w:szCs w:val="32"/>
        </w:rPr>
        <w:t>人，其中：行政</w:t>
      </w:r>
      <w:r>
        <w:rPr>
          <w:rFonts w:hint="eastAsia" w:ascii="Times New Roman" w:hAnsi="Times New Roman" w:eastAsia="方正仿宋_GBK" w:cs="Times New Roman"/>
          <w:sz w:val="32"/>
          <w:szCs w:val="32"/>
          <w:lang w:val="en-US" w:eastAsia="zh-CN"/>
        </w:rPr>
        <w:t>4,157</w:t>
      </w:r>
      <w:r>
        <w:rPr>
          <w:rFonts w:ascii="Times New Roman" w:hAnsi="Times New Roman" w:eastAsia="方正仿宋_GBK" w:cs="Times New Roman"/>
          <w:sz w:val="32"/>
          <w:szCs w:val="32"/>
        </w:rPr>
        <w:t>人，事业</w:t>
      </w:r>
      <w:r>
        <w:rPr>
          <w:rFonts w:hint="eastAsia" w:ascii="Times New Roman" w:hAnsi="Times New Roman" w:eastAsia="方正仿宋_GBK" w:cs="Times New Roman"/>
          <w:sz w:val="32"/>
          <w:szCs w:val="32"/>
          <w:lang w:val="en-US" w:eastAsia="zh-CN"/>
        </w:rPr>
        <w:t>5,541</w:t>
      </w:r>
      <w:r>
        <w:rPr>
          <w:rFonts w:ascii="Times New Roman" w:hAnsi="Times New Roman" w:eastAsia="方正仿宋_GBK" w:cs="Times New Roman"/>
          <w:sz w:val="32"/>
          <w:szCs w:val="32"/>
        </w:rPr>
        <w:t>人</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rPr>
        <w:t>年资产期末数</w:t>
      </w:r>
      <w:r>
        <w:rPr>
          <w:rFonts w:hint="eastAsia" w:ascii="Times New Roman" w:hAnsi="Times New Roman" w:eastAsia="方正仿宋_GBK" w:cs="Times New Roman"/>
          <w:sz w:val="32"/>
          <w:szCs w:val="32"/>
          <w:lang w:val="en-US" w:eastAsia="zh-CN"/>
        </w:rPr>
        <w:t>207.57</w:t>
      </w:r>
      <w:r>
        <w:rPr>
          <w:rFonts w:hint="eastAsia" w:ascii="Times New Roman" w:hAnsi="Times New Roman" w:eastAsia="方正仿宋_GBK" w:cs="Times New Roman"/>
          <w:sz w:val="32"/>
          <w:szCs w:val="32"/>
          <w:lang w:eastAsia="zh-CN"/>
        </w:rPr>
        <w:t>亿</w:t>
      </w:r>
      <w:r>
        <w:rPr>
          <w:rFonts w:ascii="Times New Roman" w:hAnsi="Times New Roman" w:eastAsia="方正仿宋_GBK" w:cs="Times New Roman"/>
          <w:sz w:val="32"/>
          <w:szCs w:val="32"/>
        </w:rPr>
        <w:t>元</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负债期末数</w:t>
      </w:r>
      <w:r>
        <w:rPr>
          <w:rFonts w:hint="eastAsia" w:ascii="Times New Roman" w:hAnsi="Times New Roman" w:eastAsia="方正仿宋_GBK" w:cs="Times New Roman"/>
          <w:sz w:val="32"/>
          <w:szCs w:val="32"/>
          <w:lang w:val="en-US" w:eastAsia="zh-CN"/>
        </w:rPr>
        <w:t>88.99</w:t>
      </w:r>
      <w:r>
        <w:rPr>
          <w:rFonts w:hint="eastAsia" w:ascii="Times New Roman" w:hAnsi="Times New Roman" w:eastAsia="方正仿宋_GBK" w:cs="Times New Roman"/>
          <w:sz w:val="32"/>
          <w:szCs w:val="32"/>
          <w:lang w:eastAsia="zh-CN"/>
        </w:rPr>
        <w:t>亿</w:t>
      </w:r>
      <w:r>
        <w:rPr>
          <w:rFonts w:ascii="Times New Roman" w:hAnsi="Times New Roman" w:eastAsia="方正仿宋_GBK" w:cs="Times New Roman"/>
          <w:sz w:val="32"/>
          <w:szCs w:val="32"/>
        </w:rPr>
        <w:t>元，净资产期末数</w:t>
      </w:r>
      <w:r>
        <w:rPr>
          <w:rFonts w:hint="eastAsia" w:ascii="Times New Roman" w:hAnsi="Times New Roman" w:eastAsia="方正仿宋_GBK" w:cs="Times New Roman"/>
          <w:sz w:val="32"/>
          <w:szCs w:val="32"/>
          <w:lang w:val="en-US" w:eastAsia="zh-CN"/>
        </w:rPr>
        <w:t>118.58</w:t>
      </w:r>
      <w:r>
        <w:rPr>
          <w:rFonts w:hint="eastAsia" w:ascii="Times New Roman" w:hAnsi="Times New Roman" w:eastAsia="方正仿宋_GBK" w:cs="Times New Roman"/>
          <w:sz w:val="32"/>
          <w:szCs w:val="32"/>
          <w:lang w:eastAsia="zh-CN"/>
        </w:rPr>
        <w:t>亿</w:t>
      </w:r>
      <w:r>
        <w:rPr>
          <w:rFonts w:ascii="Times New Roman" w:hAnsi="Times New Roman" w:eastAsia="方正仿宋_GBK" w:cs="Times New Roman"/>
          <w:sz w:val="32"/>
          <w:szCs w:val="32"/>
        </w:rPr>
        <w:t>元</w:t>
      </w:r>
      <w:r>
        <w:rPr>
          <w:rFonts w:hint="eastAsia" w:ascii="Times New Roman" w:hAnsi="Times New Roman" w:eastAsia="方正仿宋_GBK" w:cs="Times New Roman"/>
          <w:sz w:val="32"/>
          <w:szCs w:val="32"/>
        </w:rPr>
        <w:t>，</w:t>
      </w:r>
      <w:r>
        <w:rPr>
          <w:rFonts w:ascii="Times New Roman" w:hAnsi="Times New Roman" w:eastAsia="方正仿宋_GBK" w:cs="Times New Roman"/>
          <w:color w:val="000000" w:themeColor="text1"/>
          <w:sz w:val="32"/>
          <w:szCs w:val="32"/>
          <w14:textFill>
            <w14:solidFill>
              <w14:schemeClr w14:val="tx1"/>
            </w14:solidFill>
          </w14:textFill>
        </w:rPr>
        <w:t>总资产增长率</w:t>
      </w:r>
      <w:r>
        <w:rPr>
          <w:rFonts w:hint="eastAsia" w:ascii="Times New Roman" w:hAnsi="Times New Roman" w:eastAsia="方正仿宋_GBK" w:cs="Times New Roman"/>
          <w:sz w:val="32"/>
          <w:szCs w:val="32"/>
          <w:lang w:val="en-US" w:eastAsia="zh-CN"/>
        </w:rPr>
        <w:t>10.21</w:t>
      </w:r>
      <w:r>
        <w:rPr>
          <w:rFonts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sz w:val="32"/>
          <w:szCs w:val="32"/>
        </w:rPr>
        <w:t>。</w:t>
      </w:r>
      <w:r>
        <w:rPr>
          <w:rFonts w:hint="eastAsia" w:eastAsia="方正仿宋_GBK" w:cs="Times New Roman"/>
          <w:sz w:val="32"/>
          <w:szCs w:val="32"/>
          <w:lang w:eastAsia="zh-CN"/>
        </w:rPr>
        <w:t>主要</w:t>
      </w:r>
      <w:r>
        <w:rPr>
          <w:rFonts w:hint="eastAsia" w:eastAsia="方正仿宋_GBK" w:cs="Times New Roman"/>
          <w:sz w:val="32"/>
          <w:szCs w:val="32"/>
          <w:lang w:val="en-US" w:eastAsia="zh-CN"/>
        </w:rPr>
        <w:t>资产具体情况如下</w:t>
      </w:r>
      <w:r>
        <w:rPr>
          <w:rFonts w:hint="eastAsia"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hint="eastAsia" w:eastAsia="方正仿宋_GBK" w:cs="Times New Roman"/>
          <w:sz w:val="32"/>
          <w:szCs w:val="32"/>
          <w:lang w:eastAsia="zh-CN"/>
        </w:rPr>
      </w:pPr>
      <w:r>
        <w:rPr>
          <w:rFonts w:hint="eastAsia" w:eastAsia="方正仿宋_GBK" w:cs="Times New Roman"/>
          <w:sz w:val="32"/>
          <w:szCs w:val="32"/>
          <w:lang w:eastAsia="zh-CN"/>
        </w:rPr>
        <w:t>（</w:t>
      </w:r>
      <w:r>
        <w:rPr>
          <w:rFonts w:hint="eastAsia" w:eastAsia="方正仿宋_GBK" w:cs="Times New Roman"/>
          <w:sz w:val="32"/>
          <w:szCs w:val="32"/>
          <w:lang w:val="en-US" w:eastAsia="zh-CN"/>
        </w:rPr>
        <w:t>1</w:t>
      </w:r>
      <w:r>
        <w:rPr>
          <w:rFonts w:hint="eastAsia" w:eastAsia="方正仿宋_GBK" w:cs="Times New Roman"/>
          <w:sz w:val="32"/>
          <w:szCs w:val="32"/>
          <w:lang w:eastAsia="zh-CN"/>
        </w:rPr>
        <w:t>）固定资产情况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rPr>
        <w:t>固定资产期初数净值</w:t>
      </w:r>
      <w:r>
        <w:rPr>
          <w:rFonts w:hint="eastAsia" w:ascii="Times New Roman" w:hAnsi="Times New Roman" w:eastAsia="方正仿宋_GBK" w:cs="Times New Roman"/>
          <w:sz w:val="32"/>
          <w:szCs w:val="32"/>
          <w:lang w:val="en-US" w:eastAsia="zh-CN"/>
        </w:rPr>
        <w:t>14.95</w:t>
      </w:r>
      <w:r>
        <w:rPr>
          <w:rFonts w:hint="eastAsia" w:ascii="Times New Roman" w:hAnsi="Times New Roman" w:eastAsia="方正仿宋_GBK" w:cs="Times New Roman"/>
          <w:sz w:val="32"/>
          <w:szCs w:val="32"/>
          <w:lang w:eastAsia="zh-CN"/>
        </w:rPr>
        <w:t>亿</w:t>
      </w:r>
      <w:r>
        <w:rPr>
          <w:rFonts w:ascii="Times New Roman" w:hAnsi="Times New Roman" w:eastAsia="方正仿宋_GBK" w:cs="Times New Roman"/>
          <w:sz w:val="32"/>
          <w:szCs w:val="32"/>
        </w:rPr>
        <w:t>元，期末数净值</w:t>
      </w:r>
      <w:r>
        <w:rPr>
          <w:rFonts w:hint="eastAsia" w:ascii="Times New Roman" w:hAnsi="Times New Roman" w:eastAsia="方正仿宋_GBK" w:cs="Times New Roman"/>
          <w:sz w:val="32"/>
          <w:szCs w:val="32"/>
          <w:lang w:val="en-US" w:eastAsia="zh-CN"/>
        </w:rPr>
        <w:t>14.47</w:t>
      </w:r>
      <w:r>
        <w:rPr>
          <w:rFonts w:hint="eastAsia" w:ascii="Times New Roman" w:hAnsi="Times New Roman" w:eastAsia="方正仿宋_GBK" w:cs="Times New Roman"/>
          <w:sz w:val="32"/>
          <w:szCs w:val="32"/>
          <w:lang w:eastAsia="zh-CN"/>
        </w:rPr>
        <w:t>亿</w:t>
      </w:r>
      <w:r>
        <w:rPr>
          <w:rFonts w:ascii="Times New Roman" w:hAnsi="Times New Roman" w:eastAsia="方正仿宋_GBK" w:cs="Times New Roman"/>
          <w:sz w:val="32"/>
          <w:szCs w:val="32"/>
        </w:rPr>
        <w:t>元</w:t>
      </w:r>
      <w:r>
        <w:rPr>
          <w:rFonts w:hint="eastAsia" w:eastAsia="方正仿宋_GBK" w:cs="Times New Roman"/>
          <w:sz w:val="32"/>
          <w:szCs w:val="32"/>
          <w:lang w:eastAsia="zh-CN"/>
        </w:rPr>
        <w:t>，</w:t>
      </w:r>
      <w:r>
        <w:rPr>
          <w:rFonts w:hint="eastAsia" w:ascii="Times New Roman" w:hAnsi="Times New Roman" w:eastAsia="方正仿宋_GBK" w:cs="Times New Roman"/>
          <w:sz w:val="32"/>
          <w:szCs w:val="32"/>
        </w:rPr>
        <w:t>较上期</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0.48</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同比减少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3.24</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sz w:val="32"/>
          <w:szCs w:val="32"/>
        </w:rPr>
        <w:t>固定资产占资产总额的</w:t>
      </w:r>
      <w:r>
        <w:rPr>
          <w:rFonts w:hint="eastAsia" w:ascii="Times New Roman" w:hAnsi="Times New Roman" w:eastAsia="方正仿宋_GBK" w:cs="Times New Roman"/>
          <w:sz w:val="32"/>
          <w:szCs w:val="32"/>
          <w:lang w:val="en-US" w:eastAsia="zh-CN"/>
        </w:rPr>
        <w:t>6.97</w:t>
      </w:r>
      <w:r>
        <w:rPr>
          <w:rFonts w:ascii="Times New Roman" w:hAnsi="Times New Roman" w:eastAsia="方正仿宋_GBK" w:cs="Times New Roman"/>
          <w:sz w:val="32"/>
          <w:szCs w:val="32"/>
        </w:rPr>
        <w:t>%</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sz w:val="32"/>
          <w:szCs w:val="32"/>
        </w:rPr>
        <w:t>其中：房屋</w:t>
      </w:r>
      <w:r>
        <w:rPr>
          <w:rFonts w:hint="eastAsia" w:ascii="Times New Roman" w:hAnsi="Times New Roman" w:eastAsia="方正仿宋_GBK" w:cs="Times New Roman"/>
          <w:sz w:val="32"/>
          <w:szCs w:val="32"/>
          <w:lang w:val="en-US" w:eastAsia="zh-CN"/>
        </w:rPr>
        <w:t>72.91</w:t>
      </w:r>
      <w:r>
        <w:rPr>
          <w:rFonts w:ascii="Times New Roman" w:hAnsi="Times New Roman" w:eastAsia="方正仿宋_GBK" w:cs="Times New Roman"/>
          <w:sz w:val="32"/>
          <w:szCs w:val="32"/>
        </w:rPr>
        <w:t>万平方米，期末数净值</w:t>
      </w:r>
      <w:r>
        <w:rPr>
          <w:rFonts w:hint="eastAsia" w:ascii="Times New Roman" w:hAnsi="Times New Roman" w:eastAsia="方正仿宋_GBK" w:cs="Times New Roman"/>
          <w:sz w:val="32"/>
          <w:szCs w:val="32"/>
          <w:lang w:val="en-US" w:eastAsia="zh-CN"/>
        </w:rPr>
        <w:t>10.01</w:t>
      </w:r>
      <w:r>
        <w:rPr>
          <w:rFonts w:hint="eastAsia" w:ascii="Times New Roman" w:hAnsi="Times New Roman" w:eastAsia="方正仿宋_GBK" w:cs="Times New Roman"/>
          <w:sz w:val="32"/>
          <w:szCs w:val="32"/>
          <w:lang w:eastAsia="zh-CN"/>
        </w:rPr>
        <w:t>亿</w:t>
      </w:r>
      <w:r>
        <w:rPr>
          <w:rFonts w:ascii="Times New Roman" w:hAnsi="Times New Roman" w:eastAsia="方正仿宋_GBK" w:cs="Times New Roman"/>
          <w:sz w:val="32"/>
          <w:szCs w:val="32"/>
        </w:rPr>
        <w:t>元，占固定资产期末数净值的</w:t>
      </w:r>
      <w:r>
        <w:rPr>
          <w:rFonts w:hint="eastAsia" w:ascii="Times New Roman" w:hAnsi="Times New Roman" w:eastAsia="方正仿宋_GBK" w:cs="Times New Roman"/>
          <w:sz w:val="32"/>
          <w:szCs w:val="32"/>
          <w:lang w:val="en-US" w:eastAsia="zh-CN"/>
        </w:rPr>
        <w:t>69.22</w:t>
      </w:r>
      <w:r>
        <w:rPr>
          <w:rFonts w:ascii="Times New Roman" w:hAnsi="Times New Roman" w:eastAsia="方正仿宋_GBK" w:cs="Times New Roman"/>
          <w:sz w:val="32"/>
          <w:szCs w:val="32"/>
        </w:rPr>
        <w:t>%；单价</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0万元以上的设备</w:t>
      </w:r>
      <w:r>
        <w:rPr>
          <w:rFonts w:hint="eastAsia" w:ascii="Times New Roman" w:hAnsi="Times New Roman" w:eastAsia="方正仿宋_GBK" w:cs="Times New Roman"/>
          <w:sz w:val="32"/>
          <w:szCs w:val="32"/>
          <w:lang w:eastAsia="zh-CN"/>
        </w:rPr>
        <w:t>（不含车辆）</w:t>
      </w:r>
      <w:r>
        <w:rPr>
          <w:rFonts w:ascii="Times New Roman" w:hAnsi="Times New Roman" w:eastAsia="方正仿宋_GBK" w:cs="Times New Roman"/>
          <w:sz w:val="32"/>
          <w:szCs w:val="32"/>
        </w:rPr>
        <w:t>期末数净值</w:t>
      </w:r>
      <w:r>
        <w:rPr>
          <w:rFonts w:hint="eastAsia" w:ascii="Times New Roman" w:hAnsi="Times New Roman" w:eastAsia="方正仿宋_GBK" w:cs="Times New Roman"/>
          <w:sz w:val="32"/>
          <w:szCs w:val="32"/>
          <w:highlight w:val="none"/>
          <w:lang w:val="en-US" w:eastAsia="zh-CN"/>
        </w:rPr>
        <w:t>0.81</w:t>
      </w:r>
      <w:r>
        <w:rPr>
          <w:rFonts w:hint="eastAsia" w:ascii="Times New Roman" w:hAnsi="Times New Roman" w:eastAsia="方正仿宋_GBK" w:cs="Times New Roman"/>
          <w:sz w:val="32"/>
          <w:szCs w:val="32"/>
          <w:highlight w:val="none"/>
          <w:lang w:eastAsia="zh-CN"/>
        </w:rPr>
        <w:t>亿</w:t>
      </w:r>
      <w:r>
        <w:rPr>
          <w:rFonts w:ascii="Times New Roman" w:hAnsi="Times New Roman" w:eastAsia="方正仿宋_GBK" w:cs="Times New Roman"/>
          <w:sz w:val="32"/>
          <w:szCs w:val="32"/>
          <w:highlight w:val="none"/>
        </w:rPr>
        <w:t>元，占固定资产期末数净值的</w:t>
      </w:r>
      <w:r>
        <w:rPr>
          <w:rFonts w:hint="eastAsia" w:ascii="Times New Roman" w:hAnsi="Times New Roman" w:eastAsia="方正仿宋_GBK" w:cs="Times New Roman"/>
          <w:sz w:val="32"/>
          <w:szCs w:val="32"/>
          <w:highlight w:val="none"/>
          <w:lang w:val="en-US" w:eastAsia="zh-CN"/>
        </w:rPr>
        <w:t>5.62</w:t>
      </w:r>
      <w:r>
        <w:rPr>
          <w:rFonts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lang w:eastAsia="zh-CN"/>
        </w:rPr>
        <w:t>家具和用具</w:t>
      </w:r>
      <w:r>
        <w:rPr>
          <w:rFonts w:ascii="Times New Roman" w:hAnsi="Times New Roman" w:eastAsia="方正仿宋_GBK" w:cs="Times New Roman"/>
          <w:sz w:val="32"/>
          <w:szCs w:val="32"/>
        </w:rPr>
        <w:t>期末数净值</w:t>
      </w:r>
      <w:r>
        <w:rPr>
          <w:rFonts w:hint="eastAsia" w:ascii="Times New Roman" w:hAnsi="Times New Roman" w:eastAsia="方正仿宋_GBK" w:cs="Times New Roman"/>
          <w:sz w:val="32"/>
          <w:szCs w:val="32"/>
          <w:highlight w:val="none"/>
          <w:lang w:val="en-US" w:eastAsia="zh-CN"/>
        </w:rPr>
        <w:t>0.7亿</w:t>
      </w:r>
      <w:r>
        <w:rPr>
          <w:rFonts w:ascii="Times New Roman" w:hAnsi="Times New Roman" w:eastAsia="方正仿宋_GBK" w:cs="Times New Roman"/>
          <w:sz w:val="32"/>
          <w:szCs w:val="32"/>
          <w:highlight w:val="none"/>
        </w:rPr>
        <w:t>元，占固定资产期末数净值的</w:t>
      </w:r>
      <w:r>
        <w:rPr>
          <w:rFonts w:hint="eastAsia" w:ascii="Times New Roman" w:hAnsi="Times New Roman" w:eastAsia="方正仿宋_GBK" w:cs="Times New Roman"/>
          <w:sz w:val="32"/>
          <w:szCs w:val="32"/>
          <w:highlight w:val="none"/>
          <w:lang w:val="en-US" w:eastAsia="zh-CN"/>
        </w:rPr>
        <w:t>4.81</w:t>
      </w:r>
      <w:r>
        <w:rPr>
          <w:rFonts w:ascii="Times New Roman" w:hAnsi="Times New Roman" w:eastAsia="方正仿宋_GBK" w:cs="Times New Roman"/>
          <w:sz w:val="32"/>
          <w:szCs w:val="32"/>
          <w:highlight w:val="none"/>
        </w:rPr>
        <w:t>%</w:t>
      </w:r>
      <w:r>
        <w:rPr>
          <w:rFonts w:ascii="Times New Roman" w:hAnsi="Times New Roman" w:eastAsia="方正仿宋_GBK" w:cs="Times New Roman"/>
          <w:sz w:val="32"/>
          <w:szCs w:val="32"/>
        </w:rPr>
        <w:t>；车辆期末数净值</w:t>
      </w:r>
      <w:r>
        <w:rPr>
          <w:rFonts w:hint="eastAsia" w:ascii="Times New Roman" w:hAnsi="Times New Roman" w:eastAsia="方正仿宋_GBK" w:cs="Times New Roman"/>
          <w:sz w:val="32"/>
          <w:szCs w:val="32"/>
          <w:lang w:val="en-US" w:eastAsia="zh-CN"/>
        </w:rPr>
        <w:t>0.35</w:t>
      </w:r>
      <w:r>
        <w:rPr>
          <w:rFonts w:hint="eastAsia" w:ascii="Times New Roman" w:hAnsi="Times New Roman" w:eastAsia="方正仿宋_GBK" w:cs="Times New Roman"/>
          <w:sz w:val="32"/>
          <w:szCs w:val="32"/>
          <w:lang w:eastAsia="zh-CN"/>
        </w:rPr>
        <w:t>亿</w:t>
      </w:r>
      <w:r>
        <w:rPr>
          <w:rFonts w:ascii="Times New Roman" w:hAnsi="Times New Roman" w:eastAsia="方正仿宋_GBK" w:cs="Times New Roman"/>
          <w:sz w:val="32"/>
          <w:szCs w:val="32"/>
        </w:rPr>
        <w:t>元，占固定资产期末数净值的</w:t>
      </w:r>
      <w:r>
        <w:rPr>
          <w:rFonts w:hint="eastAsia" w:ascii="Times New Roman" w:hAnsi="Times New Roman" w:eastAsia="方正仿宋_GBK" w:cs="Times New Roman"/>
          <w:sz w:val="32"/>
          <w:szCs w:val="32"/>
          <w:lang w:val="en-US" w:eastAsia="zh-CN"/>
        </w:rPr>
        <w:t>2.4</w:t>
      </w:r>
      <w:r>
        <w:rPr>
          <w:rFonts w:ascii="Times New Roman" w:hAnsi="Times New Roman" w:eastAsia="方正仿宋_GBK" w:cs="Times New Roman"/>
          <w:sz w:val="32"/>
          <w:szCs w:val="32"/>
        </w:rPr>
        <w:t>%</w:t>
      </w:r>
      <w:r>
        <w:rPr>
          <w:rFonts w:ascii="Times New Roman" w:hAnsi="Times New Roman" w:eastAsia="方正仿宋_GBK" w:cs="Times New Roman"/>
          <w:sz w:val="32"/>
          <w:szCs w:val="32"/>
          <w:highlight w:val="none"/>
        </w:rPr>
        <w:t>。</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hint="eastAsia" w:eastAsia="方正仿宋_GBK" w:cs="Times New Roman"/>
          <w:sz w:val="32"/>
          <w:szCs w:val="32"/>
          <w:lang w:eastAsia="zh-CN"/>
        </w:rPr>
      </w:pPr>
      <w:r>
        <w:rPr>
          <w:rFonts w:hint="eastAsia" w:eastAsia="方正仿宋_GBK" w:cs="Times New Roman"/>
          <w:sz w:val="32"/>
          <w:szCs w:val="32"/>
          <w:lang w:eastAsia="zh-CN"/>
        </w:rPr>
        <w:t>（</w:t>
      </w:r>
      <w:r>
        <w:rPr>
          <w:rFonts w:hint="eastAsia" w:eastAsia="方正仿宋_GBK" w:cs="Times New Roman"/>
          <w:sz w:val="32"/>
          <w:szCs w:val="32"/>
          <w:lang w:val="en-US" w:eastAsia="zh-CN"/>
        </w:rPr>
        <w:t>2</w:t>
      </w:r>
      <w:r>
        <w:rPr>
          <w:rFonts w:hint="eastAsia" w:eastAsia="方正仿宋_GBK" w:cs="Times New Roman"/>
          <w:sz w:val="32"/>
          <w:szCs w:val="32"/>
          <w:lang w:eastAsia="zh-CN"/>
        </w:rPr>
        <w:t>）在建工程情况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截至202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年12月31日，我区在建工程</w:t>
      </w:r>
      <w:r>
        <w:rPr>
          <w:rFonts w:hint="eastAsia" w:ascii="Times New Roman" w:hAnsi="Times New Roman" w:eastAsia="方正仿宋_GBK" w:cs="Times New Roman"/>
          <w:sz w:val="32"/>
          <w:szCs w:val="32"/>
          <w:lang w:val="en-US" w:eastAsia="zh-CN"/>
        </w:rPr>
        <w:t>369</w:t>
      </w:r>
      <w:r>
        <w:rPr>
          <w:rFonts w:hint="eastAsia" w:ascii="Times New Roman" w:hAnsi="Times New Roman" w:eastAsia="方正仿宋_GBK" w:cs="Times New Roman"/>
          <w:sz w:val="32"/>
          <w:szCs w:val="32"/>
        </w:rPr>
        <w:t>项，年末</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rPr>
        <w:t>建</w:t>
      </w:r>
      <w:r>
        <w:rPr>
          <w:rFonts w:ascii="Times New Roman" w:hAnsi="Times New Roman" w:eastAsia="方正仿宋_GBK" w:cs="Times New Roman"/>
          <w:sz w:val="32"/>
          <w:szCs w:val="32"/>
        </w:rPr>
        <w:t>工程</w:t>
      </w:r>
      <w:r>
        <w:rPr>
          <w:rFonts w:hint="eastAsia" w:ascii="Times New Roman" w:hAnsi="Times New Roman" w:eastAsia="方正仿宋_GBK" w:cs="Times New Roman"/>
          <w:sz w:val="32"/>
          <w:szCs w:val="32"/>
        </w:rPr>
        <w:t>总投资</w:t>
      </w:r>
      <w:r>
        <w:rPr>
          <w:rFonts w:hint="eastAsia" w:ascii="Times New Roman" w:hAnsi="Times New Roman" w:eastAsia="方正仿宋_GBK" w:cs="Times New Roman"/>
          <w:sz w:val="32"/>
          <w:szCs w:val="32"/>
          <w:lang w:val="en-US" w:eastAsia="zh-CN"/>
        </w:rPr>
        <w:t>110.14</w:t>
      </w:r>
      <w:r>
        <w:rPr>
          <w:rFonts w:hint="eastAsia" w:ascii="Times New Roman" w:hAnsi="Times New Roman" w:eastAsia="方正仿宋_GBK" w:cs="Times New Roman"/>
          <w:sz w:val="32"/>
          <w:szCs w:val="32"/>
          <w:lang w:eastAsia="zh-CN"/>
        </w:rPr>
        <w:t>亿</w:t>
      </w:r>
      <w:r>
        <w:rPr>
          <w:rFonts w:ascii="Times New Roman" w:hAnsi="Times New Roman" w:eastAsia="方正仿宋_GBK" w:cs="Times New Roman"/>
          <w:sz w:val="32"/>
          <w:szCs w:val="32"/>
        </w:rPr>
        <w:t>元</w:t>
      </w:r>
      <w:r>
        <w:rPr>
          <w:rFonts w:hint="eastAsia" w:ascii="Times New Roman" w:hAnsi="Times New Roman" w:eastAsia="方正仿宋_GBK" w:cs="Times New Roman"/>
          <w:sz w:val="32"/>
          <w:szCs w:val="32"/>
        </w:rPr>
        <w:t>，较上期增长</w:t>
      </w:r>
      <w:r>
        <w:rPr>
          <w:rFonts w:hint="eastAsia" w:ascii="Times New Roman" w:hAnsi="Times New Roman" w:eastAsia="方正仿宋_GBK" w:cs="Times New Roman"/>
          <w:sz w:val="32"/>
          <w:szCs w:val="32"/>
          <w:lang w:val="en-US" w:eastAsia="zh-CN"/>
        </w:rPr>
        <w:t>3.31亿</w:t>
      </w:r>
      <w:r>
        <w:rPr>
          <w:rFonts w:hint="eastAsia" w:ascii="Times New Roman" w:hAnsi="Times New Roman" w:eastAsia="方正仿宋_GBK" w:cs="Times New Roman"/>
          <w:sz w:val="32"/>
          <w:szCs w:val="32"/>
        </w:rPr>
        <w:t>元</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color w:val="000000" w:themeColor="text1"/>
          <w:sz w:val="32"/>
          <w:szCs w:val="32"/>
          <w14:textFill>
            <w14:solidFill>
              <w14:schemeClr w14:val="tx1"/>
            </w14:solidFill>
          </w14:textFill>
        </w:rPr>
        <w:t>在建工程增长率</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3.1</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sz w:val="32"/>
          <w:szCs w:val="32"/>
        </w:rPr>
        <w:t>在建工程占资产总额的</w:t>
      </w:r>
      <w:r>
        <w:rPr>
          <w:rFonts w:hint="eastAsia" w:ascii="Times New Roman" w:hAnsi="Times New Roman" w:eastAsia="方正仿宋_GBK" w:cs="Times New Roman"/>
          <w:sz w:val="32"/>
          <w:szCs w:val="32"/>
          <w:lang w:val="en-US" w:eastAsia="zh-CN"/>
        </w:rPr>
        <w:t>53.06</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我区</w:t>
      </w:r>
      <w:r>
        <w:rPr>
          <w:rFonts w:hint="eastAsia" w:ascii="Times New Roman" w:hAnsi="Times New Roman" w:eastAsia="方正仿宋_GBK" w:cs="Times New Roman"/>
          <w:sz w:val="32"/>
          <w:szCs w:val="32"/>
          <w:lang w:eastAsia="zh-CN"/>
        </w:rPr>
        <w:t>在建工程</w:t>
      </w:r>
      <w:r>
        <w:rPr>
          <w:rFonts w:hint="eastAsia" w:ascii="Times New Roman" w:hAnsi="Times New Roman" w:eastAsia="方正仿宋_GBK" w:cs="Times New Roman"/>
          <w:sz w:val="32"/>
          <w:szCs w:val="32"/>
          <w:lang w:val="en-US" w:eastAsia="zh-CN"/>
        </w:rPr>
        <w:t>项目主要集中在道路、管网、污水、基础设施建设、智慧城市、公共停车场、纺服中心、产业园、道路照明、绿化等项目</w:t>
      </w:r>
      <w:r>
        <w:rPr>
          <w:rFonts w:hint="eastAsia"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hint="eastAsia" w:eastAsia="方正仿宋_GBK" w:cs="Times New Roman"/>
          <w:sz w:val="32"/>
          <w:szCs w:val="32"/>
          <w:lang w:eastAsia="zh-CN"/>
        </w:rPr>
      </w:pPr>
      <w:r>
        <w:rPr>
          <w:rFonts w:hint="eastAsia" w:eastAsia="方正仿宋_GBK" w:cs="Times New Roman"/>
          <w:sz w:val="32"/>
          <w:szCs w:val="32"/>
          <w:lang w:eastAsia="zh-CN"/>
        </w:rPr>
        <w:t>（</w:t>
      </w:r>
      <w:r>
        <w:rPr>
          <w:rFonts w:hint="eastAsia" w:eastAsia="方正仿宋_GBK" w:cs="Times New Roman"/>
          <w:sz w:val="32"/>
          <w:szCs w:val="32"/>
          <w:lang w:val="en-US" w:eastAsia="zh-CN"/>
        </w:rPr>
        <w:t>3</w:t>
      </w:r>
      <w:r>
        <w:rPr>
          <w:rFonts w:hint="eastAsia" w:eastAsia="方正仿宋_GBK" w:cs="Times New Roman"/>
          <w:sz w:val="32"/>
          <w:szCs w:val="32"/>
          <w:lang w:eastAsia="zh-CN"/>
        </w:rPr>
        <w:t>）公共基础设施情况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eastAsia="zh-CN"/>
        </w:rPr>
      </w:pPr>
      <w:r>
        <w:rPr>
          <w:rFonts w:ascii="Times New Roman" w:hAnsi="Times New Roman" w:eastAsia="方正仿宋_GBK" w:cs="Times New Roman"/>
          <w:sz w:val="32"/>
          <w:szCs w:val="32"/>
        </w:rPr>
        <w:t>公共基础设施期初数净值</w:t>
      </w:r>
      <w:r>
        <w:rPr>
          <w:rFonts w:hint="eastAsia" w:ascii="Times New Roman" w:hAnsi="Times New Roman" w:eastAsia="方正仿宋_GBK" w:cs="Times New Roman"/>
          <w:sz w:val="32"/>
          <w:szCs w:val="32"/>
          <w:lang w:val="en-US" w:eastAsia="zh-CN"/>
        </w:rPr>
        <w:t>2,585.94</w:t>
      </w:r>
      <w:r>
        <w:rPr>
          <w:rFonts w:ascii="Times New Roman" w:hAnsi="Times New Roman" w:eastAsia="方正仿宋_GBK" w:cs="Times New Roman"/>
          <w:sz w:val="32"/>
          <w:szCs w:val="32"/>
        </w:rPr>
        <w:t>万元，期末数净值2,585.94万元</w:t>
      </w:r>
      <w:r>
        <w:rPr>
          <w:rFonts w:hint="eastAsia" w:ascii="Times New Roman" w:hAnsi="Times New Roman" w:eastAsia="方正仿宋_GBK" w:cs="Times New Roman"/>
          <w:sz w:val="32"/>
          <w:szCs w:val="32"/>
        </w:rPr>
        <w:t>，</w:t>
      </w:r>
      <w:r>
        <w:rPr>
          <w:rFonts w:ascii="Times New Roman" w:hAnsi="Times New Roman" w:eastAsia="方正仿宋_GBK" w:cs="Times New Roman"/>
          <w:color w:val="000000" w:themeColor="text1"/>
          <w:sz w:val="32"/>
          <w:szCs w:val="32"/>
          <w14:textFill>
            <w14:solidFill>
              <w14:schemeClr w14:val="tx1"/>
            </w14:solidFill>
          </w14:textFill>
        </w:rPr>
        <w:t>公共基础设施</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本年无变动。</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hint="eastAsia" w:eastAsia="方正仿宋_GBK" w:cs="Times New Roman"/>
          <w:sz w:val="32"/>
          <w:szCs w:val="32"/>
          <w:lang w:eastAsia="zh-CN"/>
        </w:rPr>
      </w:pPr>
      <w:r>
        <w:rPr>
          <w:rFonts w:hint="eastAsia" w:eastAsia="方正仿宋_GBK" w:cs="Times New Roman"/>
          <w:sz w:val="32"/>
          <w:szCs w:val="32"/>
          <w:lang w:eastAsia="zh-CN"/>
        </w:rPr>
        <w:t>（</w:t>
      </w:r>
      <w:r>
        <w:rPr>
          <w:rFonts w:hint="eastAsia" w:eastAsia="方正仿宋_GBK" w:cs="Times New Roman"/>
          <w:sz w:val="32"/>
          <w:szCs w:val="32"/>
          <w:lang w:val="en-US" w:eastAsia="zh-CN"/>
        </w:rPr>
        <w:t>4</w:t>
      </w:r>
      <w:r>
        <w:rPr>
          <w:rFonts w:hint="eastAsia" w:eastAsia="方正仿宋_GBK" w:cs="Times New Roman"/>
          <w:sz w:val="32"/>
          <w:szCs w:val="32"/>
          <w:lang w:eastAsia="zh-CN"/>
        </w:rPr>
        <w:t>）政府储备物资情况</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政府储备物资期初数</w:t>
      </w:r>
      <w:r>
        <w:rPr>
          <w:rFonts w:hint="eastAsia" w:ascii="Times New Roman" w:hAnsi="Times New Roman" w:eastAsia="方正仿宋_GBK" w:cs="Times New Roman"/>
          <w:sz w:val="32"/>
          <w:szCs w:val="32"/>
          <w:lang w:val="en-US" w:eastAsia="zh-CN"/>
        </w:rPr>
        <w:t>194.15</w:t>
      </w:r>
      <w:r>
        <w:rPr>
          <w:rFonts w:ascii="Times New Roman" w:hAnsi="Times New Roman" w:eastAsia="方正仿宋_GBK" w:cs="Times New Roman"/>
          <w:sz w:val="32"/>
          <w:szCs w:val="32"/>
        </w:rPr>
        <w:t>万元，期末数</w:t>
      </w:r>
      <w:r>
        <w:rPr>
          <w:rFonts w:hint="eastAsia" w:ascii="Times New Roman" w:hAnsi="Times New Roman" w:eastAsia="方正仿宋_GBK" w:cs="Times New Roman"/>
          <w:sz w:val="32"/>
          <w:szCs w:val="32"/>
          <w:lang w:val="en-US" w:eastAsia="zh-CN"/>
        </w:rPr>
        <w:t>153.68</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较上期</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40.47</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政府储备物资</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主要是区应急管理局储备的防疫、救灾物资</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2.行政事业性国有资产管理情况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50"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Times New Roman" w:hAnsi="Times New Roman" w:eastAsia="方正仿宋_GBK" w:cs="Times New Roman"/>
          <w:b w:val="0"/>
          <w:bCs w:val="0"/>
          <w:color w:val="auto"/>
          <w:kern w:val="2"/>
          <w:sz w:val="32"/>
          <w:szCs w:val="32"/>
          <w:lang w:val="en-US" w:eastAsia="zh-CN" w:bidi="ar-SA"/>
        </w:rPr>
        <w:t>（1）强化资产管理，健全资产管理机制。</w:t>
      </w:r>
      <w:r>
        <w:rPr>
          <w:rFonts w:hint="default" w:ascii="Times New Roman" w:hAnsi="Times New Roman" w:eastAsia="方正仿宋_GBK" w:cs="Times New Roman"/>
          <w:b w:val="0"/>
          <w:bCs w:val="0"/>
          <w:color w:val="auto"/>
          <w:kern w:val="2"/>
          <w:sz w:val="32"/>
          <w:szCs w:val="32"/>
          <w:lang w:val="en-US" w:eastAsia="zh-CN" w:bidi="ar-SA"/>
        </w:rPr>
        <w:t>强化国有资产监管，依托资产系统平台每月开展巡查</w:t>
      </w:r>
      <w:r>
        <w:rPr>
          <w:rFonts w:hint="eastAsia"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认真核对各预算单位申报的资产年终决算报表，确保账务数据与资产账务数据保持一致</w:t>
      </w:r>
      <w:r>
        <w:rPr>
          <w:rFonts w:hint="eastAsia"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切实履行监督职责，财政局资产管理科室针对预算单位专门制定集预算执行、账务、资产联合检查计划，并实施进度报告制度。</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left"/>
        <w:textAlignment w:val="auto"/>
        <w:rPr>
          <w:rFonts w:hint="default" w:ascii="方正楷体_GBK" w:hAnsi="方正楷体_GBK" w:eastAsia="方正仿宋_GBK" w:cs="方正楷体_GBK"/>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（2）持续摸清底数，推进资产盘活工作。按照</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管委会（区政府）</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关于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加强行政事业单位国有资产管理</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工作部署</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区财政</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局通过</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查询</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账务</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、核对</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实物，对全区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11</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家</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预算</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单位</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资产进行清查、分类、汇总，</w:t>
      </w:r>
      <w:r>
        <w:rPr>
          <w:rFonts w:ascii="Times New Roman" w:hAnsi="Times New Roman" w:eastAsia="方正仿宋_GBK"/>
          <w:sz w:val="32"/>
          <w:szCs w:val="32"/>
        </w:rPr>
        <w:t>盘活</w:t>
      </w:r>
      <w:r>
        <w:rPr>
          <w:rFonts w:hint="eastAsia" w:ascii="Times New Roman" w:hAnsi="Times New Roman" w:eastAsia="方正仿宋_GBK"/>
          <w:sz w:val="32"/>
          <w:szCs w:val="32"/>
          <w:lang w:eastAsia="zh-CN"/>
        </w:rPr>
        <w:t>闲置房屋建筑</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处</w:t>
      </w:r>
      <w:r>
        <w:rPr>
          <w:rFonts w:hint="eastAsia" w:ascii="Times New Roman" w:hAnsi="Times New Roman" w:eastAsia="方正仿宋_GBK"/>
          <w:sz w:val="32"/>
          <w:szCs w:val="32"/>
          <w:lang w:eastAsia="zh-CN"/>
        </w:rPr>
        <w:t>，面积约</w:t>
      </w:r>
      <w:r>
        <w:rPr>
          <w:rFonts w:hint="eastAsia" w:ascii="Times New Roman" w:hAnsi="Times New Roman" w:eastAsia="方正仿宋_GBK"/>
          <w:sz w:val="32"/>
          <w:szCs w:val="32"/>
          <w:lang w:val="en-US" w:eastAsia="zh-CN"/>
        </w:rPr>
        <w:t>2</w:t>
      </w:r>
      <w:r>
        <w:rPr>
          <w:rFonts w:hint="eastAsia" w:eastAsia="方正仿宋_GBK"/>
          <w:sz w:val="32"/>
          <w:szCs w:val="32"/>
          <w:lang w:val="en-US" w:eastAsia="zh-CN"/>
        </w:rPr>
        <w:t>,</w:t>
      </w:r>
      <w:r>
        <w:rPr>
          <w:rFonts w:hint="eastAsia" w:ascii="Times New Roman" w:hAnsi="Times New Roman" w:eastAsia="方正仿宋_GBK"/>
          <w:sz w:val="32"/>
          <w:szCs w:val="32"/>
          <w:lang w:val="en-US" w:eastAsia="zh-CN"/>
        </w:rPr>
        <w:t>068万平米，</w:t>
      </w:r>
      <w:r>
        <w:rPr>
          <w:rFonts w:hint="eastAsia" w:ascii="Times New Roman" w:hAnsi="Times New Roman" w:eastAsia="方正仿宋_GBK"/>
          <w:sz w:val="32"/>
          <w:szCs w:val="32"/>
          <w:lang w:eastAsia="zh-CN"/>
        </w:rPr>
        <w:t>处置收入</w:t>
      </w:r>
      <w:r>
        <w:rPr>
          <w:rFonts w:hint="eastAsia" w:ascii="Times New Roman" w:hAnsi="Times New Roman" w:eastAsia="方正仿宋_GBK"/>
          <w:sz w:val="32"/>
          <w:szCs w:val="32"/>
          <w:lang w:val="en-US" w:eastAsia="zh-CN"/>
        </w:rPr>
        <w:t>7,</w:t>
      </w:r>
      <w:r>
        <w:rPr>
          <w:rFonts w:hint="eastAsia" w:ascii="Times New Roman" w:hAnsi="Times New Roman" w:eastAsia="方正仿宋_GBK"/>
          <w:sz w:val="32"/>
          <w:szCs w:val="32"/>
          <w:lang w:eastAsia="zh-CN"/>
        </w:rPr>
        <w:t>777万元。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方正楷体_GBK" w:hAnsi="方正楷体_GBK" w:eastAsia="方正楷体_GBK" w:cs="方正楷体_GBK"/>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lang w:val="en-US" w:eastAsia="zh-CN"/>
          <w14:textFill>
            <w14:solidFill>
              <w14:schemeClr w14:val="tx1"/>
            </w14:solidFill>
          </w14:textFill>
        </w:rPr>
        <w:t>3</w:t>
      </w:r>
      <w:r>
        <w:rPr>
          <w:rFonts w:hint="eastAsia" w:ascii="方正楷体_GBK" w:hAnsi="方正楷体_GBK" w:eastAsia="方正楷体_GBK" w:cs="方正楷体_GBK"/>
          <w:color w:val="000000" w:themeColor="text1"/>
          <w:sz w:val="32"/>
          <w:szCs w:val="32"/>
          <w14:textFill>
            <w14:solidFill>
              <w14:schemeClr w14:val="tx1"/>
            </w14:solidFill>
          </w14:textFill>
        </w:rPr>
        <w:t>）</w:t>
      </w:r>
      <w:r>
        <w:rPr>
          <w:rFonts w:hint="eastAsia" w:ascii="Times New Roman" w:hAnsi="Times New Roman" w:eastAsia="方正仿宋_GBK" w:cs="Times New Roman"/>
          <w:sz w:val="32"/>
          <w:szCs w:val="32"/>
          <w:lang w:val="en-US" w:eastAsia="zh-CN"/>
        </w:rPr>
        <w:t>开展监督检查，加强资产管理整治。按照地方财经秩序专项整治文件要求，重点围绕加强资产管理开展自查工作，</w:t>
      </w:r>
      <w:r>
        <w:rPr>
          <w:rFonts w:hint="eastAsia" w:ascii="Times New Roman" w:hAnsi="Times New Roman" w:eastAsia="方正仿宋_GBK" w:cs="Times New Roman"/>
          <w:sz w:val="32"/>
          <w:szCs w:val="32"/>
          <w:highlight w:val="none"/>
          <w:lang w:val="en-US" w:eastAsia="zh-CN"/>
        </w:rPr>
        <w:t>累计查出5项问题，主要为</w:t>
      </w:r>
      <w:r>
        <w:rPr>
          <w:rFonts w:hint="eastAsia" w:ascii="Times New Roman" w:hAnsi="Times New Roman" w:eastAsia="方正仿宋_GBK" w:cs="Times New Roman"/>
          <w:sz w:val="32"/>
          <w:szCs w:val="32"/>
          <w:lang w:val="en-US" w:eastAsia="zh-CN"/>
        </w:rPr>
        <w:t>资产账实不符、未按规定登记入账，涉及金额237.05万元，均已完成整改工作。</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加强资源统筹，实现资产调剂共享。</w:t>
      </w:r>
      <w:r>
        <w:rPr>
          <w:rFonts w:hint="eastAsia" w:ascii="Times New Roman" w:hAnsi="Times New Roman" w:eastAsia="方正仿宋_GBK" w:cs="Times New Roman"/>
          <w:b w:val="0"/>
          <w:bCs w:val="0"/>
          <w:snapToGrid w:val="0"/>
          <w:color w:val="000000"/>
          <w:kern w:val="0"/>
          <w:sz w:val="32"/>
          <w:szCs w:val="32"/>
          <w:u w:val="none"/>
          <w:lang w:val="en-US" w:eastAsia="zh-CN"/>
        </w:rPr>
        <w:t>由区财政局牵头，区政府批准</w:t>
      </w:r>
      <w:r>
        <w:rPr>
          <w:rFonts w:hint="default" w:ascii="Times New Roman" w:hAnsi="Times New Roman" w:eastAsia="方正仿宋_GBK" w:cs="Times New Roman"/>
          <w:sz w:val="32"/>
          <w:szCs w:val="32"/>
          <w:u w:val="none"/>
          <w:lang w:val="en-US" w:eastAsia="zh-CN"/>
        </w:rPr>
        <w:t>制定《经开区（头屯河区）行</w:t>
      </w:r>
      <w:r>
        <w:rPr>
          <w:rFonts w:hint="default" w:ascii="Times New Roman" w:hAnsi="Times New Roman" w:eastAsia="方正仿宋_GBK" w:cs="Times New Roman"/>
          <w:color w:val="000000"/>
          <w:kern w:val="0"/>
          <w:sz w:val="32"/>
          <w:szCs w:val="32"/>
          <w:u w:val="none"/>
          <w:lang w:val="en-US" w:eastAsia="zh-CN"/>
        </w:rPr>
        <w:t>政事业单位国有资产公物仓管理办法（试行）》，</w:t>
      </w:r>
      <w:r>
        <w:rPr>
          <w:rFonts w:hint="eastAsia" w:ascii="Times New Roman" w:hAnsi="Times New Roman" w:eastAsia="方正仿宋_GBK" w:cs="Times New Roman"/>
          <w:color w:val="000000"/>
          <w:kern w:val="0"/>
          <w:sz w:val="32"/>
          <w:szCs w:val="32"/>
          <w:u w:val="none"/>
          <w:lang w:val="en-US" w:eastAsia="zh-CN"/>
        </w:rPr>
        <w:t>并在经开区（头屯河区）全面推行。2022年</w:t>
      </w:r>
      <w:r>
        <w:rPr>
          <w:rFonts w:hint="eastAsia" w:ascii="Times New Roman" w:hAnsi="Times New Roman" w:eastAsia="方正仿宋_GBK" w:cs="Times New Roman"/>
          <w:sz w:val="32"/>
          <w:szCs w:val="32"/>
          <w:lang w:eastAsia="zh-CN"/>
        </w:rPr>
        <w:t>调剂</w:t>
      </w:r>
      <w:r>
        <w:rPr>
          <w:rFonts w:hint="eastAsia" w:ascii="Times New Roman" w:hAnsi="Times New Roman" w:eastAsia="方正仿宋_GBK" w:cs="Times New Roman"/>
          <w:sz w:val="32"/>
          <w:szCs w:val="32"/>
        </w:rPr>
        <w:t>资产</w:t>
      </w:r>
      <w:r>
        <w:rPr>
          <w:rFonts w:hint="eastAsia" w:ascii="Times New Roman" w:hAnsi="Times New Roman" w:eastAsia="方正仿宋_GBK" w:cs="Times New Roman"/>
          <w:sz w:val="32"/>
          <w:szCs w:val="32"/>
          <w:lang w:val="en-US" w:eastAsia="zh-CN"/>
        </w:rPr>
        <w:t>2,314</w:t>
      </w:r>
      <w:r>
        <w:rPr>
          <w:rFonts w:hint="eastAsia" w:ascii="Times New Roman" w:hAnsi="Times New Roman" w:eastAsia="方正仿宋_GBK" w:cs="Times New Roman"/>
          <w:sz w:val="32"/>
          <w:szCs w:val="32"/>
        </w:rPr>
        <w:t>件</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资产</w:t>
      </w:r>
      <w:r>
        <w:rPr>
          <w:rFonts w:hint="eastAsia" w:ascii="Times New Roman" w:hAnsi="Times New Roman" w:eastAsia="方正仿宋_GBK" w:cs="Times New Roman"/>
          <w:sz w:val="32"/>
          <w:szCs w:val="32"/>
          <w:lang w:eastAsia="zh-CN"/>
        </w:rPr>
        <w:t>原值</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029</w:t>
      </w:r>
      <w:r>
        <w:rPr>
          <w:rFonts w:hint="eastAsia" w:ascii="Times New Roman" w:hAnsi="Times New Roman" w:eastAsia="方正仿宋_GBK" w:cs="Times New Roman"/>
          <w:sz w:val="32"/>
          <w:szCs w:val="32"/>
        </w:rPr>
        <w:t>万元，资产</w:t>
      </w:r>
      <w:r>
        <w:rPr>
          <w:rFonts w:hint="eastAsia" w:ascii="Times New Roman" w:hAnsi="Times New Roman" w:eastAsia="方正仿宋_GBK" w:cs="Times New Roman"/>
          <w:sz w:val="32"/>
          <w:szCs w:val="32"/>
          <w:lang w:eastAsia="zh-CN"/>
        </w:rPr>
        <w:t>调剂</w:t>
      </w:r>
      <w:r>
        <w:rPr>
          <w:rFonts w:hint="eastAsia" w:ascii="Times New Roman" w:hAnsi="Times New Roman" w:eastAsia="方正仿宋_GBK" w:cs="Times New Roman"/>
          <w:sz w:val="32"/>
          <w:szCs w:val="32"/>
        </w:rPr>
        <w:t>率9</w:t>
      </w:r>
      <w:r>
        <w:rPr>
          <w:rFonts w:hint="eastAsia" w:ascii="Times New Roman" w:hAnsi="Times New Roman" w:eastAsia="方正仿宋_GBK" w:cs="Times New Roman"/>
          <w:sz w:val="32"/>
          <w:szCs w:val="32"/>
          <w:lang w:val="en-US" w:eastAsia="zh-CN"/>
        </w:rPr>
        <w:t>0.39</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5</w:t>
      </w:r>
      <w:r>
        <w:rPr>
          <w:rFonts w:hint="eastAsia"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梳理问题建议，落实巡视、审计整改工作。</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配合</w:t>
      </w:r>
      <w:r>
        <w:rPr>
          <w:rFonts w:hint="eastAsia" w:ascii="Times New Roman" w:hAnsi="Times New Roman" w:eastAsia="方正仿宋_GBK" w:cs="方正仿宋_GBK"/>
          <w:color w:val="000000" w:themeColor="text1"/>
          <w:spacing w:val="0"/>
          <w:sz w:val="32"/>
          <w:szCs w:val="32"/>
          <w:lang w:val="en-US" w:eastAsia="zh-CN"/>
          <w14:textFill>
            <w14:solidFill>
              <w14:schemeClr w14:val="tx1"/>
            </w14:solidFill>
          </w14:textFill>
        </w:rPr>
        <w:t>自治区巡视、市委（区委）巡察整改工作，</w:t>
      </w:r>
      <w:r>
        <w:rPr>
          <w:rFonts w:hint="default" w:ascii="Times New Roman" w:hAnsi="Times New Roman" w:eastAsia="方正仿宋_GBK" w:cs="Times New Roman"/>
          <w:sz w:val="32"/>
          <w:szCs w:val="32"/>
          <w:lang w:eastAsia="zh-CN"/>
        </w:rPr>
        <w:t>围绕重点难点问题，查漏补缺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推动</w:t>
      </w:r>
      <w:r>
        <w:rPr>
          <w:rFonts w:hint="default" w:ascii="Times New Roman" w:hAnsi="Times New Roman" w:eastAsia="方正仿宋_GBK" w:cs="Times New Roman"/>
          <w:sz w:val="32"/>
          <w:szCs w:val="32"/>
          <w:lang w:val="en-US" w:eastAsia="zh-CN"/>
        </w:rPr>
        <w:t>整改工作</w:t>
      </w:r>
      <w:r>
        <w:rPr>
          <w:rFonts w:hint="default" w:ascii="Times New Roman" w:hAnsi="Times New Roman" w:eastAsia="方正仿宋_GBK" w:cs="Times New Roman"/>
          <w:sz w:val="32"/>
          <w:szCs w:val="32"/>
          <w:lang w:eastAsia="zh-CN"/>
        </w:rPr>
        <w:t>全落实、见实效。</w:t>
      </w:r>
      <w:r>
        <w:rPr>
          <w:rFonts w:hint="eastAsia" w:ascii="Times New Roman" w:hAnsi="Times New Roman" w:eastAsia="方正仿宋_GBK" w:cs="Times New Roman"/>
          <w:color w:val="auto"/>
          <w:sz w:val="32"/>
          <w:szCs w:val="32"/>
          <w:lang w:eastAsia="zh-CN"/>
        </w:rPr>
        <w:t>配合自治区审计局、区审计局审计工作，</w:t>
      </w:r>
      <w:r>
        <w:rPr>
          <w:rFonts w:hint="eastAsia" w:eastAsia="方正仿宋_GBK" w:cs="Times New Roman"/>
          <w:color w:val="000000"/>
          <w:sz w:val="32"/>
          <w:szCs w:val="32"/>
          <w:lang w:val="en-US" w:eastAsia="zh-CN"/>
        </w:rPr>
        <w:t>严格对照问题</w:t>
      </w:r>
      <w:r>
        <w:rPr>
          <w:rFonts w:hint="eastAsia" w:ascii="Times New Roman" w:hAnsi="Times New Roman" w:eastAsia="方正仿宋_GBK" w:cs="Times New Roman"/>
          <w:color w:val="000000"/>
          <w:sz w:val="32"/>
          <w:szCs w:val="32"/>
          <w:lang w:val="en-US" w:eastAsia="zh-CN"/>
        </w:rPr>
        <w:t>和</w:t>
      </w:r>
      <w:r>
        <w:rPr>
          <w:rFonts w:hint="eastAsia" w:eastAsia="方正仿宋_GBK" w:cs="Times New Roman"/>
          <w:color w:val="000000"/>
          <w:sz w:val="32"/>
          <w:szCs w:val="32"/>
          <w:lang w:val="en-US" w:eastAsia="zh-CN"/>
        </w:rPr>
        <w:t>审计分析</w:t>
      </w:r>
      <w:r>
        <w:rPr>
          <w:rFonts w:hint="eastAsia" w:ascii="Times New Roman" w:hAnsi="Times New Roman" w:eastAsia="方正仿宋_GBK" w:cs="Times New Roman"/>
          <w:color w:val="000000"/>
          <w:sz w:val="32"/>
          <w:szCs w:val="32"/>
          <w:lang w:val="en-US" w:eastAsia="zh-CN"/>
        </w:rPr>
        <w:t>建议</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进行深入分析、立行立改、举一反三，扎实做好</w:t>
      </w:r>
      <w:r>
        <w:rPr>
          <w:rFonts w:hint="default" w:ascii="Times New Roman" w:hAnsi="Times New Roman" w:eastAsia="方正仿宋_GBK" w:cs="Times New Roman"/>
          <w:color w:val="000000"/>
          <w:sz w:val="32"/>
          <w:szCs w:val="32"/>
          <w:lang w:val="en-US" w:eastAsia="zh-CN"/>
        </w:rPr>
        <w:t>整改</w:t>
      </w:r>
      <w:r>
        <w:rPr>
          <w:rFonts w:hint="eastAsia" w:ascii="Times New Roman" w:hAnsi="Times New Roman" w:eastAsia="方正仿宋_GBK" w:cs="Times New Roman"/>
          <w:color w:val="000000"/>
          <w:sz w:val="32"/>
          <w:szCs w:val="32"/>
          <w:lang w:val="en-US" w:eastAsia="zh-CN"/>
        </w:rPr>
        <w:t>工作。</w:t>
      </w:r>
    </w:p>
    <w:p>
      <w:pPr>
        <w:pStyle w:val="8"/>
        <w:keepNext w:val="0"/>
        <w:keepLines w:val="0"/>
        <w:pageBreakBefore w:val="0"/>
        <w:kinsoku/>
        <w:wordWrap/>
        <w:overflowPunct/>
        <w:topLinePunct w:val="0"/>
        <w:autoSpaceDE/>
        <w:autoSpaceDN/>
        <w:bidi w:val="0"/>
        <w:spacing w:line="550" w:lineRule="exact"/>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仿宋_GBK" w:cs="Times New Roman"/>
          <w:color w:val="auto"/>
          <w:sz w:val="32"/>
          <w:szCs w:val="32"/>
        </w:rPr>
        <w:t>　</w:t>
      </w:r>
      <w:r>
        <w:rPr>
          <w:rFonts w:hint="default" w:ascii="Times New Roman" w:hAnsi="Times New Roman" w:eastAsia="方正仿宋_GBK" w:cs="Times New Roman"/>
          <w:b w:val="0"/>
          <w:bCs w:val="0"/>
          <w:color w:val="auto"/>
          <w:sz w:val="32"/>
          <w:szCs w:val="32"/>
        </w:rPr>
        <w:t>　</w:t>
      </w:r>
      <w:r>
        <w:rPr>
          <w:rFonts w:hint="eastAsia" w:ascii="Times New Roman" w:hAnsi="Times New Roman" w:eastAsia="方正楷体_GBK" w:cs="Times New Roman"/>
          <w:b w:val="0"/>
          <w:bCs w:val="0"/>
          <w:color w:val="auto"/>
          <w:sz w:val="32"/>
          <w:szCs w:val="32"/>
          <w:lang w:val="en-US" w:eastAsia="zh-CN"/>
        </w:rPr>
        <w:t>（四）</w:t>
      </w:r>
      <w:r>
        <w:rPr>
          <w:rFonts w:hint="default" w:ascii="Times New Roman" w:hAnsi="Times New Roman" w:eastAsia="方正楷体_GBK" w:cs="Times New Roman"/>
          <w:b w:val="0"/>
          <w:bCs w:val="0"/>
          <w:color w:val="auto"/>
          <w:sz w:val="32"/>
          <w:szCs w:val="32"/>
          <w:lang w:val="en-US" w:eastAsia="zh-CN"/>
        </w:rPr>
        <w:t>国有自然资源资产情况</w:t>
      </w:r>
    </w:p>
    <w:p>
      <w:pPr>
        <w:keepNext w:val="0"/>
        <w:keepLines w:val="0"/>
        <w:pageBreakBefore w:val="0"/>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1.国有自然资源资产管理体制</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年，我区仍尚未成立自然资源资产管理和自然生态监管机构，包括土地、矿产、能源、水流、海洋、森林等主要国有自然资源资产按照原职责分工，分别由</w:t>
      </w:r>
      <w:r>
        <w:rPr>
          <w:rFonts w:hint="eastAsia" w:eastAsia="方正仿宋_GBK" w:cs="Times New Roman"/>
          <w:sz w:val="32"/>
          <w:szCs w:val="32"/>
          <w:lang w:val="en-US" w:eastAsia="zh-CN"/>
        </w:rPr>
        <w:t>自然资源</w:t>
      </w:r>
      <w:r>
        <w:rPr>
          <w:rFonts w:hint="default" w:ascii="Times New Roman" w:hAnsi="Times New Roman" w:eastAsia="方正仿宋_GBK" w:cs="Times New Roman"/>
          <w:sz w:val="32"/>
          <w:szCs w:val="32"/>
          <w:lang w:val="en-US" w:eastAsia="zh-CN"/>
        </w:rPr>
        <w:t>分局、建设局（水务局）、园林管理局等行业主管部门负责管理。</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2.基本情况</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截止202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年我区自然资源资产</w:t>
      </w:r>
      <w:r>
        <w:rPr>
          <w:rFonts w:hint="eastAsia" w:ascii="Times New Roman" w:hAnsi="Times New Roman" w:eastAsia="方正仿宋_GBK" w:cs="Times New Roman"/>
          <w:sz w:val="32"/>
          <w:szCs w:val="32"/>
          <w:lang w:val="en-US" w:eastAsia="zh-CN"/>
        </w:rPr>
        <w:t>63.56</w:t>
      </w:r>
      <w:r>
        <w:rPr>
          <w:rFonts w:hint="default" w:ascii="Times New Roman" w:hAnsi="Times New Roman" w:eastAsia="方正仿宋_GBK" w:cs="Times New Roman"/>
          <w:sz w:val="32"/>
          <w:szCs w:val="32"/>
          <w:lang w:val="en-US" w:eastAsia="zh-CN"/>
        </w:rPr>
        <w:t>亿元。</w:t>
      </w:r>
      <w:r>
        <w:rPr>
          <w:rFonts w:hint="eastAsia" w:ascii="Times New Roman" w:hAnsi="Times New Roman" w:eastAsia="方正仿宋_GBK" w:cs="Times New Roman"/>
          <w:sz w:val="32"/>
          <w:szCs w:val="32"/>
          <w:lang w:val="en-US" w:eastAsia="zh-CN"/>
        </w:rPr>
        <w:t>（详见表</w:t>
      </w:r>
      <w:r>
        <w:rPr>
          <w:rFonts w:hint="eastAsia"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（1）水资源1元（名义金额）</w:t>
      </w:r>
      <w:r>
        <w:rPr>
          <w:rFonts w:hint="default" w:ascii="Times New Roman" w:hAnsi="Times New Roman" w:eastAsia="方正仿宋_GBK" w:cs="Times New Roman"/>
          <w:sz w:val="32"/>
          <w:szCs w:val="32"/>
          <w:lang w:val="en-US" w:eastAsia="zh-CN"/>
        </w:rPr>
        <w:t>：截止2022年底，我区供用水量（不包含兵团十二师供用水量，不包括再生水利用量）9</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297万立方米，其中地表水6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803万立方米，地下水2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494万立方米。</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（2）森林资源1元（名义金额）</w:t>
      </w:r>
      <w:r>
        <w:rPr>
          <w:rFonts w:hint="default" w:ascii="Times New Roman" w:hAnsi="Times New Roman" w:eastAsia="方正仿宋_GBK" w:cs="Times New Roman"/>
          <w:sz w:val="32"/>
          <w:szCs w:val="32"/>
          <w:lang w:val="en-US" w:eastAsia="zh-CN"/>
        </w:rPr>
        <w:t>：截止2022年底，我区林地面积1124.9</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公顷，其中：人工林面积665.15公顷，其他林地面积459.7</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公顷。</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（3）土地资源63.56亿元</w:t>
      </w:r>
      <w:r>
        <w:rPr>
          <w:rFonts w:hint="default" w:ascii="Times New Roman" w:hAnsi="Times New Roman" w:eastAsia="方正仿宋_GBK" w:cs="Times New Roman"/>
          <w:sz w:val="32"/>
          <w:szCs w:val="32"/>
          <w:lang w:val="en-US" w:eastAsia="zh-CN"/>
        </w:rPr>
        <w:t>（收储土地价值）：</w:t>
      </w:r>
      <w:r>
        <w:rPr>
          <w:rFonts w:hint="eastAsia" w:ascii="Times New Roman" w:hAnsi="Times New Roman" w:eastAsia="方正仿宋_GBK" w:cs="Times New Roman"/>
          <w:sz w:val="32"/>
          <w:szCs w:val="32"/>
          <w:lang w:val="en-US" w:eastAsia="zh-CN"/>
        </w:rPr>
        <w:t>根据市自然资源局提供数据</w:t>
      </w:r>
      <w:r>
        <w:rPr>
          <w:rFonts w:hint="default" w:ascii="Times New Roman" w:hAnsi="Times New Roman" w:eastAsia="方正仿宋_GBK" w:cs="Times New Roman"/>
          <w:sz w:val="32"/>
          <w:szCs w:val="32"/>
          <w:lang w:val="en-US" w:eastAsia="zh-CN"/>
        </w:rPr>
        <w:t>，我区土地调查面积（不含兵团）为27478.88公顷，其中湿地79.38公顷，占比为</w:t>
      </w:r>
      <w:r>
        <w:rPr>
          <w:rFonts w:hint="eastAsia" w:ascii="Times New Roman" w:hAnsi="Times New Roman" w:eastAsia="方正仿宋_GBK" w:cs="Times New Roman"/>
          <w:sz w:val="32"/>
          <w:szCs w:val="32"/>
          <w:lang w:val="en-US" w:eastAsia="zh-CN"/>
        </w:rPr>
        <w:t>0.29</w:t>
      </w:r>
      <w:r>
        <w:rPr>
          <w:rFonts w:hint="default" w:ascii="Times New Roman" w:hAnsi="Times New Roman" w:eastAsia="方正仿宋_GBK" w:cs="Times New Roman"/>
          <w:sz w:val="32"/>
          <w:szCs w:val="32"/>
          <w:lang w:val="en-US" w:eastAsia="zh-CN"/>
        </w:rPr>
        <w:t>%；耕地5992.39公顷，占比为</w:t>
      </w:r>
      <w:r>
        <w:rPr>
          <w:rFonts w:hint="eastAsia" w:ascii="Times New Roman" w:hAnsi="Times New Roman" w:eastAsia="方正仿宋_GBK" w:cs="Times New Roman"/>
          <w:sz w:val="32"/>
          <w:szCs w:val="32"/>
          <w:lang w:val="en-US" w:eastAsia="zh-CN"/>
        </w:rPr>
        <w:t>21.8</w:t>
      </w:r>
      <w:r>
        <w:rPr>
          <w:rFonts w:hint="default" w:ascii="Times New Roman" w:hAnsi="Times New Roman" w:eastAsia="方正仿宋_GBK" w:cs="Times New Roman"/>
          <w:sz w:val="32"/>
          <w:szCs w:val="32"/>
          <w:lang w:val="en-US" w:eastAsia="zh-CN"/>
        </w:rPr>
        <w:t>%；种植园用地2412.14公顷，占比为</w:t>
      </w:r>
      <w:r>
        <w:rPr>
          <w:rFonts w:hint="eastAsia" w:ascii="Times New Roman" w:hAnsi="Times New Roman" w:eastAsia="方正仿宋_GBK" w:cs="Times New Roman"/>
          <w:sz w:val="32"/>
          <w:szCs w:val="32"/>
          <w:lang w:val="en-US" w:eastAsia="zh-CN"/>
        </w:rPr>
        <w:t>8.78</w:t>
      </w:r>
      <w:r>
        <w:rPr>
          <w:rFonts w:hint="default" w:ascii="Times New Roman" w:hAnsi="Times New Roman" w:eastAsia="方正仿宋_GBK" w:cs="Times New Roman"/>
          <w:sz w:val="32"/>
          <w:szCs w:val="32"/>
          <w:lang w:val="en-US" w:eastAsia="zh-CN"/>
        </w:rPr>
        <w:t>%；林地4997.97公顷，占比为</w:t>
      </w:r>
      <w:r>
        <w:rPr>
          <w:rFonts w:hint="eastAsia" w:ascii="Times New Roman" w:hAnsi="Times New Roman" w:eastAsia="方正仿宋_GBK" w:cs="Times New Roman"/>
          <w:sz w:val="32"/>
          <w:szCs w:val="32"/>
          <w:lang w:val="en-US" w:eastAsia="zh-CN"/>
        </w:rPr>
        <w:t>18.19</w:t>
      </w:r>
      <w:r>
        <w:rPr>
          <w:rFonts w:hint="default" w:ascii="Times New Roman" w:hAnsi="Times New Roman" w:eastAsia="方正仿宋_GBK" w:cs="Times New Roman"/>
          <w:sz w:val="32"/>
          <w:szCs w:val="32"/>
          <w:lang w:val="en-US" w:eastAsia="zh-CN"/>
        </w:rPr>
        <w:t>%；草地1703.76公顷，占比为</w:t>
      </w:r>
      <w:r>
        <w:rPr>
          <w:rFonts w:hint="eastAsia" w:ascii="Times New Roman" w:hAnsi="Times New Roman" w:eastAsia="方正仿宋_GBK" w:cs="Times New Roman"/>
          <w:sz w:val="32"/>
          <w:szCs w:val="32"/>
          <w:lang w:val="en-US" w:eastAsia="zh-CN"/>
        </w:rPr>
        <w:t>6.2</w:t>
      </w:r>
      <w:r>
        <w:rPr>
          <w:rFonts w:hint="default" w:ascii="Times New Roman" w:hAnsi="Times New Roman" w:eastAsia="方正仿宋_GBK" w:cs="Times New Roman"/>
          <w:sz w:val="32"/>
          <w:szCs w:val="32"/>
          <w:lang w:val="en-US" w:eastAsia="zh-CN"/>
        </w:rPr>
        <w:t>%；城镇村及工矿用地8780.29公顷，占比为</w:t>
      </w:r>
      <w:r>
        <w:rPr>
          <w:rFonts w:hint="eastAsia" w:ascii="Times New Roman" w:hAnsi="Times New Roman" w:eastAsia="方正仿宋_GBK" w:cs="Times New Roman"/>
          <w:sz w:val="32"/>
          <w:szCs w:val="32"/>
          <w:lang w:val="en-US" w:eastAsia="zh-CN"/>
        </w:rPr>
        <w:t>31.95</w:t>
      </w:r>
      <w:r>
        <w:rPr>
          <w:rFonts w:hint="default" w:ascii="Times New Roman" w:hAnsi="Times New Roman" w:eastAsia="方正仿宋_GBK" w:cs="Times New Roman"/>
          <w:sz w:val="32"/>
          <w:szCs w:val="32"/>
          <w:lang w:val="en-US" w:eastAsia="zh-CN"/>
        </w:rPr>
        <w:t>%；交通运输用地2182.51公顷，占比为</w:t>
      </w:r>
      <w:r>
        <w:rPr>
          <w:rFonts w:hint="eastAsia" w:ascii="Times New Roman" w:hAnsi="Times New Roman" w:eastAsia="方正仿宋_GBK" w:cs="Times New Roman"/>
          <w:sz w:val="32"/>
          <w:szCs w:val="32"/>
          <w:lang w:val="en-US" w:eastAsia="zh-CN"/>
        </w:rPr>
        <w:t>7.94</w:t>
      </w:r>
      <w:r>
        <w:rPr>
          <w:rFonts w:hint="default" w:ascii="Times New Roman" w:hAnsi="Times New Roman" w:eastAsia="方正仿宋_GBK" w:cs="Times New Roman"/>
          <w:sz w:val="32"/>
          <w:szCs w:val="32"/>
          <w:lang w:val="en-US" w:eastAsia="zh-CN"/>
        </w:rPr>
        <w:t>%；水域及水利设施用地677.79公顷，占比为</w:t>
      </w:r>
      <w:r>
        <w:rPr>
          <w:rFonts w:hint="eastAsia" w:ascii="Times New Roman" w:hAnsi="Times New Roman" w:eastAsia="方正仿宋_GBK" w:cs="Times New Roman"/>
          <w:sz w:val="32"/>
          <w:szCs w:val="32"/>
          <w:lang w:val="en-US" w:eastAsia="zh-CN"/>
        </w:rPr>
        <w:t>2.47</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水工建筑物用地21.69公顷，占比为0.08%；</w:t>
      </w:r>
      <w:r>
        <w:rPr>
          <w:rFonts w:hint="default" w:ascii="Times New Roman" w:hAnsi="Times New Roman" w:eastAsia="方正仿宋_GBK" w:cs="Times New Roman"/>
          <w:sz w:val="32"/>
          <w:szCs w:val="32"/>
          <w:lang w:val="en-US" w:eastAsia="zh-CN"/>
        </w:rPr>
        <w:t>其他土地630.96公顷，占比为</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%。收储土地</w:t>
      </w:r>
      <w:r>
        <w:rPr>
          <w:rFonts w:hint="eastAsia" w:ascii="Times New Roman" w:hAnsi="Times New Roman" w:eastAsia="方正仿宋_GBK" w:cs="Times New Roman"/>
          <w:sz w:val="32"/>
          <w:szCs w:val="32"/>
          <w:lang w:val="en-US" w:eastAsia="zh-CN"/>
        </w:rPr>
        <w:t>187.08</w:t>
      </w:r>
      <w:r>
        <w:rPr>
          <w:rFonts w:hint="default" w:ascii="Times New Roman" w:hAnsi="Times New Roman" w:eastAsia="方正仿宋_GBK" w:cs="Times New Roman"/>
          <w:sz w:val="32"/>
          <w:szCs w:val="32"/>
          <w:lang w:val="en-US" w:eastAsia="zh-CN"/>
        </w:rPr>
        <w:t>公顷，资产价值</w:t>
      </w:r>
      <w:r>
        <w:rPr>
          <w:rFonts w:hint="eastAsia" w:ascii="Times New Roman" w:hAnsi="Times New Roman" w:eastAsia="方正仿宋_GBK" w:cs="Times New Roman"/>
          <w:sz w:val="32"/>
          <w:szCs w:val="32"/>
          <w:lang w:val="en-US" w:eastAsia="zh-CN"/>
        </w:rPr>
        <w:t>63.56</w:t>
      </w:r>
      <w:r>
        <w:rPr>
          <w:rFonts w:hint="default" w:ascii="Times New Roman" w:hAnsi="Times New Roman" w:eastAsia="方正仿宋_GBK" w:cs="Times New Roman"/>
          <w:sz w:val="32"/>
          <w:szCs w:val="32"/>
          <w:lang w:val="en-US" w:eastAsia="zh-CN"/>
        </w:rPr>
        <w:t>亿元</w:t>
      </w:r>
      <w:r>
        <w:rPr>
          <w:rFonts w:hint="eastAsia" w:ascii="Times New Roman" w:hAnsi="Times New Roman" w:eastAsia="方正仿宋_GBK" w:cs="Times New Roman"/>
          <w:sz w:val="32"/>
          <w:szCs w:val="32"/>
          <w:lang w:val="en-US" w:eastAsia="zh-CN"/>
        </w:rPr>
        <w:t>。</w:t>
      </w:r>
    </w:p>
    <w:p>
      <w:pPr>
        <w:pStyle w:val="8"/>
        <w:keepNext w:val="0"/>
        <w:keepLines w:val="0"/>
        <w:pageBreakBefore w:val="0"/>
        <w:kinsoku/>
        <w:wordWrap/>
        <w:overflowPunct/>
        <w:topLinePunct w:val="0"/>
        <w:autoSpaceDE/>
        <w:autoSpaceDN/>
        <w:bidi w:val="0"/>
        <w:adjustRightInd/>
        <w:snapToGrid/>
        <w:spacing w:line="560" w:lineRule="exact"/>
        <w:ind w:firstLine="645"/>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表</w:t>
      </w:r>
      <w:r>
        <w:rPr>
          <w:rFonts w:hint="eastAsia" w:ascii="Times New Roman" w:hAnsi="Times New Roman" w:eastAsia="方正仿宋_GBK" w:cs="Times New Roman"/>
          <w:color w:val="auto"/>
          <w:sz w:val="24"/>
          <w:szCs w:val="24"/>
          <w:lang w:val="en-US" w:eastAsia="zh-CN"/>
        </w:rPr>
        <w:t>4</w:t>
      </w:r>
      <w:r>
        <w:rPr>
          <w:rFonts w:hint="default" w:ascii="Times New Roman" w:hAnsi="Times New Roman" w:eastAsia="方正仿宋_GBK" w:cs="Times New Roman"/>
          <w:color w:val="auto"/>
          <w:sz w:val="24"/>
          <w:szCs w:val="24"/>
        </w:rPr>
        <w:t>：自然资源情况表</w:t>
      </w:r>
    </w:p>
    <w:tbl>
      <w:tblPr>
        <w:tblStyle w:val="14"/>
        <w:tblW w:w="90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2293"/>
        <w:gridCol w:w="1481"/>
        <w:gridCol w:w="1305"/>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9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水资源（</w:t>
            </w:r>
            <w:r>
              <w:rPr>
                <w:rFonts w:hint="default" w:ascii="Times New Roman" w:hAnsi="Times New Roman" w:eastAsia="方正仿宋_GBK" w:cs="Times New Roman"/>
                <w:color w:val="auto"/>
                <w:sz w:val="21"/>
                <w:szCs w:val="21"/>
                <w:lang w:val="en-US" w:eastAsia="zh-CN"/>
              </w:rPr>
              <w:t>万</w:t>
            </w:r>
            <w:r>
              <w:rPr>
                <w:rFonts w:hint="default" w:ascii="Times New Roman" w:hAnsi="Times New Roman" w:eastAsia="方正仿宋_GBK" w:cs="Times New Roman"/>
                <w:color w:val="auto"/>
                <w:sz w:val="21"/>
                <w:szCs w:val="21"/>
              </w:rPr>
              <w:t>立方米）</w:t>
            </w: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分类</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存量统计</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价值</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地表水</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6803</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地下水</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2494</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20" w:lineRule="exact"/>
              <w:ind w:firstLine="840" w:firstLineChars="400"/>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合计</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9297</w:t>
            </w:r>
          </w:p>
        </w:tc>
        <w:tc>
          <w:tcPr>
            <w:tcW w:w="13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不含兵团十二师供用水量，不包括再生水利用量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trPr>
        <w:tc>
          <w:tcPr>
            <w:tcW w:w="19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森林资源（公顷）</w:t>
            </w: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天然林</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0</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0元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人工林</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665.15</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其他林地</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459.78</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合计</w:t>
            </w:r>
          </w:p>
        </w:tc>
        <w:tc>
          <w:tcPr>
            <w:tcW w:w="1481"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1124.93</w:t>
            </w:r>
          </w:p>
        </w:tc>
        <w:tc>
          <w:tcPr>
            <w:tcW w:w="1305" w:type="dxa"/>
            <w:tcBorders>
              <w:top w:val="single" w:color="auto" w:sz="4" w:space="0"/>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94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20" w:lineRule="exact"/>
              <w:jc w:val="both"/>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土地资源（公顷）</w:t>
            </w: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收储土地</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187.08</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63.56亿元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2022年新增储备用地0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943" w:type="dxa"/>
            <w:vMerge w:val="continue"/>
            <w:tcBorders>
              <w:left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湿地</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79.38</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耕地</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5992.39</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园地</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2412.14</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林地</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4997.97</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草地</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1703.76</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城镇村及工矿用地</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8780.29</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交通运输用地</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2182.51</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水域及水域设施用地</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677.79</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其他土地</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630.96</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1元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default" w:ascii="Times New Roman" w:hAnsi="Times New Roman" w:eastAsia="方正仿宋_GBK" w:cs="Times New Roman"/>
                <w:color w:val="auto"/>
                <w:sz w:val="21"/>
                <w:szCs w:val="21"/>
              </w:rPr>
            </w:pPr>
          </w:p>
        </w:tc>
        <w:tc>
          <w:tcPr>
            <w:tcW w:w="2293"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合计</w:t>
            </w:r>
          </w:p>
        </w:tc>
        <w:tc>
          <w:tcPr>
            <w:tcW w:w="148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r>
              <w:rPr>
                <w:rFonts w:hint="default" w:ascii="Times New Roman" w:hAnsi="Times New Roman" w:eastAsia="方正仿宋_GBK" w:cs="Times New Roman"/>
                <w:color w:val="auto"/>
                <w:sz w:val="21"/>
                <w:szCs w:val="21"/>
                <w:lang w:val="en-US" w:eastAsia="zh-CN"/>
              </w:rPr>
              <w:t>27478.88</w:t>
            </w:r>
          </w:p>
        </w:tc>
        <w:tc>
          <w:tcPr>
            <w:tcW w:w="130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val="en-US" w:eastAsia="zh-CN"/>
              </w:rPr>
              <w:t>63.56亿元</w:t>
            </w:r>
          </w:p>
        </w:tc>
        <w:tc>
          <w:tcPr>
            <w:tcW w:w="198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Times New Roman" w:hAnsi="Times New Roman" w:eastAsia="方正仿宋_GBK" w:cs="Times New Roman"/>
                <w:color w:val="auto"/>
                <w:sz w:val="21"/>
                <w:szCs w:val="21"/>
                <w:lang w:val="en-US" w:eastAsia="zh-CN"/>
              </w:rPr>
            </w:pP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color w:val="auto"/>
          <w:kern w:val="2"/>
          <w:sz w:val="32"/>
          <w:szCs w:val="32"/>
          <w:lang w:val="en-US" w:eastAsia="zh-CN" w:bidi="ar-SA"/>
        </w:rPr>
      </w:pPr>
      <w:r>
        <w:rPr>
          <w:rFonts w:hint="default" w:ascii="Times New Roman" w:hAnsi="Times New Roman" w:eastAsia="方正仿宋_GBK" w:cs="Times New Roman"/>
          <w:b/>
          <w:bCs/>
          <w:color w:val="auto"/>
          <w:kern w:val="2"/>
          <w:sz w:val="32"/>
          <w:szCs w:val="32"/>
          <w:lang w:val="en-US" w:eastAsia="zh-CN" w:bidi="ar-SA"/>
        </w:rPr>
        <w:t>3.自然资源资产管理情况</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优化国土空间开发格局。坚持底线思维，以国土空间规划为依据，将“三区三线”作为调整经济结构、规划产业发展、推进城镇化不可逾越的红线。立足区域资源环境承载能力和禀赋特色，落实区域重大战略、区域协调发展战略和主体功能区战略，结合国土空间总体规划编制，统筹优化农业、生态、城镇空间和基础设施、公共资源布局。</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eastAsia" w:ascii="Times New Roman" w:hAnsi="Times New Roman" w:eastAsia="方正仿宋_GBK" w:cs="Times New Roman"/>
          <w:sz w:val="32"/>
          <w:szCs w:val="32"/>
          <w:lang w:val="en-US" w:eastAsia="zh-CN"/>
        </w:rPr>
        <w:t>2）改善生态环境质量。</w:t>
      </w:r>
      <w:r>
        <w:rPr>
          <w:rFonts w:hint="eastAsia" w:ascii="Times New Roman" w:hAnsi="Times New Roman" w:eastAsia="方正仿宋_GBK" w:cs="Times New Roman"/>
          <w:b/>
          <w:bCs/>
          <w:sz w:val="32"/>
          <w:szCs w:val="32"/>
          <w:lang w:val="en-US" w:eastAsia="zh-CN"/>
        </w:rPr>
        <w:t>一是</w:t>
      </w:r>
      <w:r>
        <w:rPr>
          <w:rFonts w:hint="eastAsia" w:ascii="Times New Roman" w:hAnsi="Times New Roman" w:eastAsia="方正仿宋_GBK" w:cs="Times New Roman"/>
          <w:sz w:val="32"/>
          <w:szCs w:val="32"/>
          <w:lang w:val="en-US" w:eastAsia="zh-CN"/>
        </w:rPr>
        <w:t>持续打好“蓝天”保卫战。扎实开展我区重污染天气应对“百日攻坚”工作，做好重点行业绩效分级与应急减排，切实减少重污染天气。</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加大水源地保护力度。建立河（湖）排污口长效监督管理机制，对头屯河经开区（头屯河区）段进行全覆盖排查溯源整治工作。</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扎实推进净土保卫战。强化土壤污染重点监管单位监管，抓好涉重金属行业监管，加快工业废弃地、矿山及工程迹地生态修复。</w:t>
      </w:r>
      <w:r>
        <w:rPr>
          <w:rFonts w:hint="eastAsia" w:ascii="Times New Roman" w:hAnsi="Times New Roman" w:eastAsia="方正仿宋_GBK" w:cs="Times New Roman"/>
          <w:b/>
          <w:bCs/>
          <w:sz w:val="32"/>
          <w:szCs w:val="32"/>
          <w:lang w:val="en-US" w:eastAsia="zh-CN"/>
        </w:rPr>
        <w:t>四是</w:t>
      </w:r>
      <w:r>
        <w:rPr>
          <w:rFonts w:hint="eastAsia" w:ascii="Times New Roman" w:hAnsi="Times New Roman" w:eastAsia="方正仿宋_GBK" w:cs="Times New Roman"/>
          <w:sz w:val="32"/>
          <w:szCs w:val="32"/>
          <w:lang w:val="en-US" w:eastAsia="zh-CN"/>
        </w:rPr>
        <w:t>强化固体废物环境监管。加大固体废物动态信息管理平台的审核监管力度，逐项审核确定危废种类，定期梳理企业备案情况，做好事中事后监管。</w:t>
      </w:r>
      <w:r>
        <w:rPr>
          <w:rFonts w:hint="eastAsia" w:ascii="Times New Roman" w:hAnsi="Times New Roman" w:eastAsia="方正仿宋_GBK" w:cs="Times New Roman"/>
          <w:b/>
          <w:bCs/>
          <w:sz w:val="32"/>
          <w:szCs w:val="32"/>
          <w:lang w:val="en-US" w:eastAsia="zh-CN"/>
        </w:rPr>
        <w:t>五是</w:t>
      </w:r>
      <w:r>
        <w:rPr>
          <w:rFonts w:hint="eastAsia" w:ascii="Times New Roman" w:hAnsi="Times New Roman" w:eastAsia="方正仿宋_GBK" w:cs="Times New Roman"/>
          <w:sz w:val="32"/>
          <w:szCs w:val="32"/>
          <w:lang w:val="en-US" w:eastAsia="zh-CN"/>
        </w:rPr>
        <w:t>做好环境统计工作。补充完善年报工作源重点调查范围，完成重点调查单位名录库信息更新和确认工作，督促和指导行业企业填报数据。</w:t>
      </w:r>
      <w:r>
        <w:rPr>
          <w:rFonts w:hint="eastAsia" w:ascii="Times New Roman" w:hAnsi="Times New Roman" w:eastAsia="方正仿宋_GBK" w:cs="Times New Roman"/>
          <w:b/>
          <w:bCs/>
          <w:sz w:val="32"/>
          <w:szCs w:val="32"/>
          <w:lang w:val="en-US" w:eastAsia="zh-CN"/>
        </w:rPr>
        <w:t>六是</w:t>
      </w:r>
      <w:r>
        <w:rPr>
          <w:rFonts w:hint="eastAsia" w:ascii="Times New Roman" w:hAnsi="Times New Roman" w:eastAsia="方正仿宋_GBK" w:cs="Times New Roman"/>
          <w:sz w:val="32"/>
          <w:szCs w:val="32"/>
          <w:lang w:val="en-US" w:eastAsia="zh-CN"/>
        </w:rPr>
        <w:t>开展辐射装置安全许可排查。详细梳理了辖区医疗机构（含动物医院）单位清单。</w:t>
      </w:r>
    </w:p>
    <w:p>
      <w:pPr>
        <w:pStyle w:val="8"/>
        <w:pageBreakBefore w:val="0"/>
        <w:widowControl w:val="0"/>
        <w:kinsoku/>
        <w:wordWrap/>
        <w:overflowPunct/>
        <w:topLinePunct w:val="0"/>
        <w:autoSpaceDE/>
        <w:autoSpaceDN/>
        <w:bidi w:val="0"/>
        <w:spacing w:line="55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lang w:val="en-US" w:eastAsia="zh-CN"/>
        </w:rPr>
        <w:t>二</w:t>
      </w:r>
      <w:r>
        <w:rPr>
          <w:rFonts w:hint="default" w:ascii="Times New Roman" w:hAnsi="Times New Roman" w:eastAsia="方正黑体_GBK" w:cs="Times New Roman"/>
          <w:color w:val="auto"/>
          <w:sz w:val="32"/>
          <w:szCs w:val="32"/>
        </w:rPr>
        <w:t>、国有资产管理工作存在的问题</w:t>
      </w:r>
    </w:p>
    <w:p>
      <w:pPr>
        <w:pStyle w:val="21"/>
        <w:keepNext w:val="0"/>
        <w:keepLines w:val="0"/>
        <w:pageBreakBefore w:val="0"/>
        <w:widowControl w:val="0"/>
        <w:numPr>
          <w:ilvl w:val="0"/>
          <w:numId w:val="0"/>
        </w:numPr>
        <w:kinsoku/>
        <w:wordWrap/>
        <w:overflowPunct/>
        <w:topLinePunct w:val="0"/>
        <w:autoSpaceDE/>
        <w:autoSpaceDN/>
        <w:bidi w:val="0"/>
        <w:adjustRightInd w:val="0"/>
        <w:snapToGrid w:val="0"/>
        <w:spacing w:line="550" w:lineRule="exact"/>
        <w:ind w:right="0" w:rightChars="0" w:firstLine="640" w:firstLineChars="200"/>
        <w:textAlignment w:val="auto"/>
        <w:rPr>
          <w:rFonts w:hint="default" w:ascii="Times New Roman" w:hAnsi="Times New Roman" w:eastAsia="方正楷体_GBK" w:cs="Times New Roman"/>
          <w:b/>
          <w:bCs/>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（一）国有企业资产</w:t>
      </w:r>
      <w:r>
        <w:rPr>
          <w:rFonts w:hint="default" w:ascii="Times New Roman" w:hAnsi="Times New Roman" w:eastAsia="方正楷体_GBK" w:cs="Times New Roman"/>
          <w:b w:val="0"/>
          <w:bCs w:val="0"/>
          <w:i w:val="0"/>
          <w:caps w:val="0"/>
          <w:color w:val="auto"/>
          <w:spacing w:val="0"/>
          <w:sz w:val="32"/>
          <w:szCs w:val="32"/>
          <w:shd w:val="clear" w:fill="FFFFFF"/>
          <w:lang w:eastAsia="zh-CN"/>
        </w:rPr>
        <w:t>存在的问题</w:t>
      </w:r>
    </w:p>
    <w:p>
      <w:pPr>
        <w:pStyle w:val="4"/>
        <w:keepNext w:val="0"/>
        <w:keepLines w:val="0"/>
        <w:pageBreakBefore w:val="0"/>
        <w:widowControl w:val="0"/>
        <w:kinsoku/>
        <w:wordWrap/>
        <w:overflowPunct/>
        <w:topLinePunct w:val="0"/>
        <w:autoSpaceDE/>
        <w:autoSpaceDN/>
        <w:bidi w:val="0"/>
        <w:adjustRightInd/>
        <w:spacing w:line="550" w:lineRule="exact"/>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1.</w:t>
      </w:r>
      <w:r>
        <w:rPr>
          <w:rFonts w:hint="default" w:ascii="Times New Roman" w:hAnsi="Times New Roman" w:eastAsia="方正仿宋_GBK" w:cs="Times New Roman"/>
          <w:b/>
          <w:bCs/>
          <w:sz w:val="32"/>
          <w:szCs w:val="32"/>
          <w:highlight w:val="none"/>
          <w:lang w:val="en-US" w:eastAsia="zh-CN"/>
        </w:rPr>
        <w:t>净现金流入不足</w:t>
      </w:r>
      <w:r>
        <w:rPr>
          <w:rFonts w:hint="eastAsia" w:ascii="Times New Roman" w:hAnsi="Times New Roman" w:eastAsia="方正仿宋_GBK" w:cs="Times New Roman"/>
          <w:b/>
          <w:bCs/>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2022年末，区属国有企业经营活动现金流量净额</w:t>
      </w:r>
      <w:r>
        <w:rPr>
          <w:rFonts w:hint="eastAsia" w:eastAsia="方正仿宋_GBK" w:cs="Times New Roman"/>
          <w:sz w:val="32"/>
          <w:szCs w:val="32"/>
          <w:highlight w:val="none"/>
          <w:lang w:val="en-US" w:eastAsia="zh-CN"/>
        </w:rPr>
        <w:t>偏低，</w:t>
      </w:r>
      <w:r>
        <w:rPr>
          <w:rFonts w:hint="default" w:ascii="Times New Roman" w:hAnsi="Times New Roman" w:eastAsia="方正仿宋_GBK" w:cs="Times New Roman"/>
          <w:sz w:val="32"/>
          <w:szCs w:val="32"/>
          <w:highlight w:val="none"/>
          <w:lang w:val="en-US" w:eastAsia="zh-CN"/>
        </w:rPr>
        <w:t>需要通过</w:t>
      </w:r>
      <w:r>
        <w:rPr>
          <w:rFonts w:hint="eastAsia" w:eastAsia="方正仿宋_GBK" w:cs="Times New Roman"/>
          <w:sz w:val="32"/>
          <w:szCs w:val="32"/>
          <w:highlight w:val="none"/>
          <w:lang w:val="en-US" w:eastAsia="zh-CN"/>
        </w:rPr>
        <w:t>大量</w:t>
      </w:r>
      <w:r>
        <w:rPr>
          <w:rFonts w:hint="default" w:ascii="Times New Roman" w:hAnsi="Times New Roman" w:eastAsia="方正仿宋_GBK" w:cs="Times New Roman"/>
          <w:sz w:val="32"/>
          <w:szCs w:val="32"/>
          <w:highlight w:val="none"/>
          <w:lang w:val="en-US" w:eastAsia="zh-CN"/>
        </w:rPr>
        <w:t>筹资活动来解决，造成区属国有企业负债规模</w:t>
      </w:r>
      <w:r>
        <w:rPr>
          <w:rFonts w:hint="eastAsia" w:eastAsia="方正仿宋_GBK" w:cs="Times New Roman"/>
          <w:sz w:val="32"/>
          <w:szCs w:val="32"/>
          <w:highlight w:val="none"/>
          <w:lang w:val="en-US" w:eastAsia="zh-CN"/>
        </w:rPr>
        <w:t>扩大</w:t>
      </w:r>
      <w:r>
        <w:rPr>
          <w:rFonts w:hint="default" w:ascii="Times New Roman" w:hAnsi="Times New Roman" w:eastAsia="方正仿宋_GBK" w:cs="Times New Roman"/>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spacing w:line="550" w:lineRule="exact"/>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2.</w:t>
      </w:r>
      <w:r>
        <w:rPr>
          <w:rFonts w:hint="default" w:ascii="Times New Roman" w:hAnsi="Times New Roman" w:eastAsia="方正仿宋_GBK" w:cs="Times New Roman"/>
          <w:b/>
          <w:bCs/>
          <w:sz w:val="32"/>
          <w:szCs w:val="32"/>
          <w:highlight w:val="none"/>
          <w:lang w:val="en-US" w:eastAsia="zh-CN"/>
        </w:rPr>
        <w:t>国有企业资金链紧绷</w:t>
      </w:r>
      <w:r>
        <w:rPr>
          <w:rFonts w:hint="eastAsia" w:ascii="Times New Roman" w:hAnsi="Times New Roman" w:eastAsia="方正仿宋_GBK" w:cs="Times New Roman"/>
          <w:b/>
          <w:bCs/>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目前区属12家集团公司和一类公司企业资产负债率</w:t>
      </w:r>
      <w:r>
        <w:rPr>
          <w:rFonts w:hint="eastAsia" w:eastAsia="方正仿宋_GBK" w:cs="Times New Roman"/>
          <w:sz w:val="32"/>
          <w:szCs w:val="32"/>
          <w:highlight w:val="none"/>
          <w:lang w:val="en-US" w:eastAsia="zh-CN"/>
        </w:rPr>
        <w:t>逐年上升</w:t>
      </w:r>
      <w:r>
        <w:rPr>
          <w:rFonts w:hint="default" w:ascii="Times New Roman" w:hAnsi="Times New Roman" w:eastAsia="方正仿宋_GBK" w:cs="Times New Roman"/>
          <w:sz w:val="32"/>
          <w:szCs w:val="32"/>
          <w:highlight w:val="none"/>
          <w:lang w:val="en-US" w:eastAsia="zh-CN"/>
        </w:rPr>
        <w:t>，国有企业高负债率对发债存在一定影响</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区属国有企业资金链持续紧绷。</w:t>
      </w:r>
    </w:p>
    <w:p>
      <w:pPr>
        <w:pStyle w:val="4"/>
        <w:keepNext w:val="0"/>
        <w:keepLines w:val="0"/>
        <w:pageBreakBefore w:val="0"/>
        <w:widowControl w:val="0"/>
        <w:kinsoku/>
        <w:wordWrap/>
        <w:overflowPunct/>
        <w:topLinePunct w:val="0"/>
        <w:autoSpaceDE/>
        <w:autoSpaceDN/>
        <w:bidi w:val="0"/>
        <w:adjustRightInd/>
        <w:spacing w:line="550" w:lineRule="exact"/>
        <w:textAlignment w:val="auto"/>
        <w:rPr>
          <w:rFonts w:hint="default" w:ascii="Times New Roman" w:hAnsi="Times New Roman" w:eastAsia="方正仿宋_GBK" w:cs="Times New Roman"/>
          <w:sz w:val="32"/>
          <w:szCs w:val="32"/>
          <w:highlight w:val="yellow"/>
          <w:lang w:eastAsia="zh-CN"/>
        </w:rPr>
      </w:pPr>
      <w:r>
        <w:rPr>
          <w:rFonts w:hint="eastAsia" w:ascii="Times New Roman" w:hAnsi="Times New Roman" w:eastAsia="方正仿宋_GBK" w:cs="Times New Roman"/>
          <w:b/>
          <w:bCs/>
          <w:sz w:val="32"/>
          <w:szCs w:val="32"/>
          <w:highlight w:val="none"/>
          <w:lang w:val="en-US" w:eastAsia="zh-CN"/>
        </w:rPr>
        <w:t>3.</w:t>
      </w:r>
      <w:r>
        <w:rPr>
          <w:rFonts w:hint="default" w:ascii="Times New Roman" w:hAnsi="Times New Roman" w:eastAsia="方正仿宋_GBK" w:cs="Times New Roman"/>
          <w:b/>
          <w:bCs/>
          <w:sz w:val="32"/>
          <w:szCs w:val="32"/>
          <w:highlight w:val="none"/>
          <w:lang w:val="en-US" w:eastAsia="zh-CN"/>
        </w:rPr>
        <w:t>国家政策面持续收紧</w:t>
      </w:r>
      <w:r>
        <w:rPr>
          <w:rFonts w:hint="eastAsia" w:ascii="Times New Roman" w:hAnsi="Times New Roman" w:eastAsia="方正仿宋_GBK" w:cs="Times New Roman"/>
          <w:b/>
          <w:bCs/>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根据监管机构的要求，对承担地方政府隐性债务的国有企业，不得新提供流贷或流贷性质的融资，国有企业发债资金不能交叉使用</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目前全疆平台公司资金链均已处于紧绷状态。</w:t>
      </w:r>
    </w:p>
    <w:p>
      <w:pPr>
        <w:pStyle w:val="3"/>
        <w:pageBreakBefore w:val="0"/>
        <w:widowControl w:val="0"/>
        <w:numPr>
          <w:ilvl w:val="2"/>
          <w:numId w:val="0"/>
        </w:numPr>
        <w:kinsoku/>
        <w:wordWrap/>
        <w:overflowPunct/>
        <w:topLinePunct w:val="0"/>
        <w:autoSpaceDE/>
        <w:autoSpaceDN/>
        <w:bidi w:val="0"/>
        <w:spacing w:line="550" w:lineRule="exact"/>
        <w:ind w:leftChars="0" w:firstLine="640" w:firstLineChars="200"/>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lang w:val="en-US" w:eastAsia="zh-CN"/>
        </w:rPr>
        <w:t>（二）金融企业资产管理</w:t>
      </w:r>
      <w:r>
        <w:rPr>
          <w:rFonts w:hint="default" w:ascii="Times New Roman" w:hAnsi="Times New Roman" w:eastAsia="方正楷体_GBK" w:cs="Times New Roman"/>
          <w:b w:val="0"/>
          <w:bCs w:val="0"/>
          <w:color w:val="auto"/>
          <w:sz w:val="32"/>
          <w:szCs w:val="32"/>
        </w:rPr>
        <w:t>存在的问题</w:t>
      </w:r>
    </w:p>
    <w:p>
      <w:pPr>
        <w:pStyle w:val="21"/>
        <w:pageBreakBefore w:val="0"/>
        <w:widowControl w:val="0"/>
        <w:kinsoku/>
        <w:wordWrap/>
        <w:overflowPunct/>
        <w:topLinePunct w:val="0"/>
        <w:autoSpaceDE/>
        <w:autoSpaceDN/>
        <w:bidi w:val="0"/>
        <w:adjustRightInd/>
        <w:snapToGrid/>
        <w:spacing w:beforeAutospacing="0" w:line="550" w:lineRule="exact"/>
        <w:ind w:firstLine="640"/>
        <w:textAlignment w:val="auto"/>
        <w:rPr>
          <w:rFonts w:hint="default" w:ascii="Times New Roman" w:hAnsi="Times New Roman" w:eastAsia="方正仿宋_GBK" w:cs="Times New Roman"/>
          <w:color w:val="000000"/>
          <w:sz w:val="32"/>
          <w:szCs w:val="32"/>
          <w:highlight w:val="none"/>
        </w:rPr>
      </w:pPr>
      <w:r>
        <w:rPr>
          <w:rFonts w:hint="eastAsia" w:ascii="Times New Roman" w:hAnsi="Times New Roman" w:eastAsia="方正仿宋_GBK" w:cs="Times New Roman"/>
          <w:b/>
          <w:bCs/>
          <w:kern w:val="2"/>
          <w:sz w:val="32"/>
          <w:szCs w:val="32"/>
          <w:highlight w:val="none"/>
          <w:lang w:val="en-US" w:eastAsia="zh-CN" w:bidi="ar-SA"/>
        </w:rPr>
        <w:t>1.</w:t>
      </w:r>
      <w:r>
        <w:rPr>
          <w:rFonts w:hint="default" w:ascii="Times New Roman" w:hAnsi="Times New Roman" w:eastAsia="方正仿宋_GBK" w:cs="Times New Roman"/>
          <w:b/>
          <w:bCs/>
          <w:kern w:val="2"/>
          <w:sz w:val="32"/>
          <w:szCs w:val="32"/>
          <w:highlight w:val="none"/>
          <w:lang w:val="en-US" w:eastAsia="zh-CN" w:bidi="ar-SA"/>
        </w:rPr>
        <w:t>担保公司</w:t>
      </w:r>
      <w:r>
        <w:rPr>
          <w:rFonts w:hint="default" w:ascii="Times New Roman" w:hAnsi="Times New Roman" w:eastAsia="方正仿宋_GBK" w:cs="Times New Roman"/>
          <w:b/>
          <w:bCs/>
          <w:sz w:val="32"/>
          <w:szCs w:val="32"/>
          <w:highlight w:val="none"/>
        </w:rPr>
        <w:t>不良贷款</w:t>
      </w:r>
      <w:r>
        <w:rPr>
          <w:rFonts w:hint="eastAsia" w:ascii="Times New Roman" w:hAnsi="Times New Roman" w:eastAsia="方正仿宋_GBK" w:cs="Times New Roman"/>
          <w:b/>
          <w:bCs/>
          <w:kern w:val="2"/>
          <w:sz w:val="32"/>
          <w:szCs w:val="32"/>
          <w:highlight w:val="none"/>
          <w:lang w:val="en-US" w:eastAsia="zh-CN" w:bidi="ar-SA"/>
        </w:rPr>
        <w:t>。</w:t>
      </w:r>
      <w:r>
        <w:rPr>
          <w:rFonts w:hint="eastAsia" w:eastAsia="方正仿宋_GBK" w:cs="Times New Roman"/>
          <w:b w:val="0"/>
          <w:bCs w:val="0"/>
          <w:sz w:val="32"/>
          <w:szCs w:val="32"/>
          <w:highlight w:val="none"/>
          <w:lang w:val="en-US" w:eastAsia="zh-CN"/>
        </w:rPr>
        <w:t>担保公司</w:t>
      </w:r>
      <w:r>
        <w:rPr>
          <w:rFonts w:hint="default" w:ascii="Times New Roman" w:hAnsi="Times New Roman" w:eastAsia="方正仿宋_GBK" w:cs="Times New Roman"/>
          <w:sz w:val="32"/>
          <w:szCs w:val="32"/>
          <w:highlight w:val="none"/>
        </w:rPr>
        <w:t>不良贷款多，回收难度较大，追偿工作难度大。担保公司应收代偿款及委托贷款余额较大，计提的各项准备金不足以覆盖不良贷款金额。</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50" w:lineRule="exact"/>
        <w:ind w:firstLine="643"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b/>
          <w:bCs/>
          <w:sz w:val="32"/>
          <w:szCs w:val="32"/>
          <w:highlight w:val="none"/>
          <w:lang w:val="en-US" w:eastAsia="zh-CN"/>
        </w:rPr>
        <w:t>2.</w:t>
      </w:r>
      <w:r>
        <w:rPr>
          <w:rFonts w:hint="default" w:ascii="Times New Roman" w:hAnsi="Times New Roman" w:eastAsia="方正仿宋_GBK" w:cs="Times New Roman"/>
          <w:b/>
          <w:bCs/>
          <w:sz w:val="32"/>
          <w:szCs w:val="32"/>
          <w:highlight w:val="none"/>
        </w:rPr>
        <w:t>重点项目建设后续缺乏支撑。</w:t>
      </w:r>
      <w:r>
        <w:rPr>
          <w:rFonts w:hint="eastAsia" w:eastAsia="方正仿宋_GBK" w:cs="Times New Roman"/>
          <w:sz w:val="32"/>
          <w:szCs w:val="32"/>
          <w:highlight w:val="none"/>
          <w:lang w:val="en-US" w:eastAsia="zh-CN"/>
        </w:rPr>
        <w:t>重点项目</w:t>
      </w:r>
      <w:r>
        <w:rPr>
          <w:rFonts w:hint="default" w:ascii="Times New Roman" w:hAnsi="Times New Roman" w:eastAsia="方正仿宋_GBK" w:cs="Times New Roman"/>
          <w:sz w:val="32"/>
          <w:szCs w:val="32"/>
          <w:highlight w:val="none"/>
        </w:rPr>
        <w:t>现阶段利润较低，资产规模较小，不具备再融资造血能力，</w:t>
      </w:r>
      <w:r>
        <w:rPr>
          <w:rFonts w:hint="default" w:ascii="Times New Roman" w:hAnsi="Times New Roman" w:eastAsia="方正仿宋_GBK" w:cs="Times New Roman"/>
          <w:b w:val="0"/>
          <w:bCs w:val="0"/>
          <w:sz w:val="32"/>
          <w:szCs w:val="32"/>
          <w:highlight w:val="none"/>
        </w:rPr>
        <w:t>仍需投入大量资金。</w:t>
      </w:r>
      <w:r>
        <w:rPr>
          <w:rFonts w:hint="default" w:ascii="Times New Roman" w:hAnsi="Times New Roman" w:eastAsia="方正仿宋_GBK" w:cs="Times New Roman"/>
          <w:sz w:val="32"/>
          <w:szCs w:val="32"/>
          <w:highlight w:val="none"/>
        </w:rPr>
        <w:t>缺少持续扶持政策</w:t>
      </w:r>
      <w:r>
        <w:rPr>
          <w:rFonts w:hint="eastAsia"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担保公司担保能力持续减弱。</w:t>
      </w:r>
      <w:bookmarkStart w:id="0" w:name="_GoBack"/>
      <w:bookmarkEnd w:id="0"/>
    </w:p>
    <w:p>
      <w:pPr>
        <w:pStyle w:val="3"/>
        <w:pageBreakBefore w:val="0"/>
        <w:widowControl w:val="0"/>
        <w:numPr>
          <w:ilvl w:val="2"/>
          <w:numId w:val="0"/>
        </w:numPr>
        <w:kinsoku/>
        <w:wordWrap/>
        <w:overflowPunct/>
        <w:topLinePunct w:val="0"/>
        <w:autoSpaceDE/>
        <w:autoSpaceDN/>
        <w:bidi w:val="0"/>
        <w:spacing w:line="550" w:lineRule="exact"/>
        <w:ind w:leftChars="0"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（三）行政事业资产管理存在的问题</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firstLine="643"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1.资产产权管理基础薄弱。</w:t>
      </w:r>
      <w:r>
        <w:rPr>
          <w:rFonts w:hint="eastAsia" w:ascii="Times New Roman" w:hAnsi="Times New Roman" w:eastAsia="方正仿宋_GBK" w:cs="Times New Roman"/>
          <w:b w:val="0"/>
          <w:bCs w:val="0"/>
          <w:sz w:val="32"/>
          <w:szCs w:val="32"/>
          <w:lang w:val="en-US" w:eastAsia="zh-CN"/>
        </w:rPr>
        <w:t>部分单位资产登记、变更、处置、盘点不及时，资产核算不准确，家底不清的问题依然存在，部分单位</w:t>
      </w:r>
      <w:r>
        <w:rPr>
          <w:rFonts w:ascii="Times New Roman" w:hAnsi="Times New Roman" w:eastAsia="方正仿宋_GBK" w:cs="Times New Roman"/>
          <w:sz w:val="32"/>
          <w:szCs w:val="32"/>
        </w:rPr>
        <w:t>领导变更以及人员</w:t>
      </w:r>
      <w:r>
        <w:rPr>
          <w:rFonts w:hint="eastAsia" w:ascii="Times New Roman" w:hAnsi="Times New Roman" w:eastAsia="方正仿宋_GBK" w:cs="Times New Roman"/>
          <w:sz w:val="32"/>
          <w:szCs w:val="32"/>
          <w:lang w:eastAsia="zh-CN"/>
        </w:rPr>
        <w:t>换岗</w:t>
      </w:r>
      <w:r>
        <w:rPr>
          <w:rFonts w:hint="eastAsia" w:ascii="Times New Roman" w:hAnsi="Times New Roman" w:eastAsia="方正仿宋_GBK" w:cs="Times New Roman"/>
          <w:sz w:val="32"/>
          <w:szCs w:val="32"/>
          <w:lang w:val="en-US" w:eastAsia="zh-CN"/>
        </w:rPr>
        <w:t>后，后续人员对资产产权情况不清楚。存在重使用轻管理，国有资产产权关系不明晰、权证不完整的情况，房屋建筑物无产权证的情况较为普遍。</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firstLine="643"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lang w:val="en-US" w:eastAsia="zh-CN"/>
        </w:rPr>
        <w:t>2.资产配置标准体系不健全。</w:t>
      </w:r>
      <w:r>
        <w:rPr>
          <w:rFonts w:hint="eastAsia" w:ascii="Times New Roman" w:hAnsi="Times New Roman" w:eastAsia="方正仿宋_GBK" w:cs="Times New Roman"/>
          <w:b w:val="0"/>
          <w:bCs w:val="0"/>
          <w:sz w:val="32"/>
          <w:szCs w:val="32"/>
          <w:lang w:val="en-US" w:eastAsia="zh-CN"/>
        </w:rPr>
        <w:t>目前行政事业性国有资产配置的标准化建设相对落后，部分通用资产配置标准是多年前的配置标准，市场价格波动过大，资产配置标准不够合理，动态调整机制尚未有效建立。专用资产配置标准体系建设进展缓慢，使用单位、审批部门、审计部门等都缺乏相应依据，配置的科学性和经济性较难保证。</w:t>
      </w:r>
    </w:p>
    <w:p>
      <w:pPr>
        <w:keepNext w:val="0"/>
        <w:keepLines w:val="0"/>
        <w:pageBreakBefore w:val="0"/>
        <w:widowControl w:val="0"/>
        <w:numPr>
          <w:ilvl w:val="-1"/>
          <w:numId w:val="0"/>
        </w:numPr>
        <w:kinsoku/>
        <w:wordWrap/>
        <w:overflowPunct/>
        <w:topLinePunct w:val="0"/>
        <w:autoSpaceDE/>
        <w:autoSpaceDN/>
        <w:bidi w:val="0"/>
        <w:adjustRightInd/>
        <w:snapToGrid/>
        <w:spacing w:line="550" w:lineRule="exact"/>
        <w:ind w:firstLine="643" w:firstLineChars="200"/>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b/>
          <w:bCs/>
          <w:sz w:val="32"/>
          <w:szCs w:val="32"/>
          <w:lang w:val="en-US" w:eastAsia="zh-CN"/>
        </w:rPr>
        <w:t>3.资产管理工作不够精细。一是</w:t>
      </w:r>
      <w:r>
        <w:rPr>
          <w:rFonts w:hint="eastAsia" w:ascii="Times New Roman" w:hAnsi="Times New Roman" w:eastAsia="方正仿宋_GBK" w:cs="Times New Roman"/>
          <w:b w:val="0"/>
          <w:bCs w:val="0"/>
          <w:sz w:val="32"/>
          <w:szCs w:val="32"/>
          <w:lang w:val="en-US" w:eastAsia="zh-CN"/>
        </w:rPr>
        <w:t>由于基层单位资产管理人员都身兼数职且岗位变动频繁，资产管理的各项工作连续性不够，并且资产管理人员业务不规范，导致后续工作人员对资产情况不了解。</w:t>
      </w:r>
      <w:r>
        <w:rPr>
          <w:rFonts w:hint="eastAsia" w:ascii="Times New Roman" w:hAnsi="Times New Roman" w:eastAsia="方正仿宋_GBK" w:cs="Times New Roman"/>
          <w:b/>
          <w:bCs/>
          <w:sz w:val="32"/>
          <w:szCs w:val="32"/>
          <w:lang w:val="en-US" w:eastAsia="zh-CN"/>
        </w:rPr>
        <w:t>二是</w:t>
      </w:r>
      <w:r>
        <w:rPr>
          <w:rFonts w:hint="eastAsia" w:ascii="Times New Roman" w:hAnsi="Times New Roman" w:eastAsia="方正仿宋_GBK" w:cs="Times New Roman"/>
          <w:sz w:val="32"/>
          <w:szCs w:val="32"/>
          <w:lang w:val="en-US" w:eastAsia="zh-CN"/>
        </w:rPr>
        <w:t>资产管理与财务核算存在脱节，购置、调拨、报废等资产处理没有与财务做好对接，容易出现入账不及时的情况。</w:t>
      </w:r>
      <w:r>
        <w:rPr>
          <w:rFonts w:hint="eastAsia" w:ascii="Times New Roman" w:hAnsi="Times New Roman" w:eastAsia="方正仿宋_GBK" w:cs="Times New Roman"/>
          <w:b/>
          <w:bCs/>
          <w:sz w:val="32"/>
          <w:szCs w:val="32"/>
          <w:lang w:val="en-US" w:eastAsia="zh-CN"/>
        </w:rPr>
        <w:t>三是</w:t>
      </w:r>
      <w:r>
        <w:rPr>
          <w:rFonts w:hint="eastAsia" w:ascii="Times New Roman" w:hAnsi="Times New Roman" w:eastAsia="方正仿宋_GBK" w:cs="Times New Roman"/>
          <w:sz w:val="32"/>
          <w:szCs w:val="32"/>
          <w:lang w:val="en-US" w:eastAsia="zh-CN"/>
        </w:rPr>
        <w:t>由于管理人员专业培训和业务学习不足，专业素养难以胜任资产管理的标准和要求，导致工作效率和质量不高。</w:t>
      </w:r>
    </w:p>
    <w:p>
      <w:pPr>
        <w:pStyle w:val="3"/>
        <w:pageBreakBefore w:val="0"/>
        <w:widowControl w:val="0"/>
        <w:numPr>
          <w:ilvl w:val="2"/>
          <w:numId w:val="0"/>
        </w:numPr>
        <w:kinsoku/>
        <w:wordWrap/>
        <w:overflowPunct/>
        <w:topLinePunct w:val="0"/>
        <w:autoSpaceDE/>
        <w:autoSpaceDN/>
        <w:bidi w:val="0"/>
        <w:spacing w:line="550" w:lineRule="exact"/>
        <w:ind w:leftChars="0" w:firstLine="640" w:firstLineChars="200"/>
        <w:textAlignment w:val="auto"/>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lang w:val="en-US" w:eastAsia="zh-CN"/>
          <w14:textFill>
            <w14:solidFill>
              <w14:schemeClr w14:val="tx1"/>
            </w14:solidFill>
          </w14:textFill>
        </w:rPr>
        <w:t>（四）国有自然资产管理存在的问题</w:t>
      </w:r>
    </w:p>
    <w:p>
      <w:pPr>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color w:val="auto"/>
          <w:lang w:val="en-US" w:eastAsia="zh-CN"/>
        </w:rPr>
      </w:pPr>
      <w:r>
        <w:rPr>
          <w:rFonts w:hint="eastAsia" w:ascii="方正仿宋_GBK" w:hAnsi="方正仿宋_GBK" w:eastAsia="方正仿宋_GBK" w:cs="方正仿宋_GBK"/>
          <w:b/>
          <w:bCs/>
          <w:color w:val="auto"/>
          <w:sz w:val="32"/>
          <w:szCs w:val="32"/>
          <w:lang w:val="en-US" w:eastAsia="zh-CN"/>
        </w:rPr>
        <w:t>一是</w:t>
      </w:r>
      <w:r>
        <w:rPr>
          <w:rFonts w:hint="eastAsia" w:ascii="方正仿宋_GBK" w:hAnsi="方正仿宋_GBK" w:eastAsia="方正仿宋_GBK" w:cs="方正仿宋_GBK"/>
          <w:b w:val="0"/>
          <w:bCs w:val="0"/>
          <w:color w:val="auto"/>
          <w:sz w:val="32"/>
          <w:szCs w:val="32"/>
          <w:lang w:val="en-US" w:eastAsia="zh-CN"/>
        </w:rPr>
        <w:t>自然资源长期实行分类管理，各部门间相关法律法规不统一、不衔接的情况依旧存在；</w:t>
      </w:r>
      <w:r>
        <w:rPr>
          <w:rFonts w:hint="eastAsia" w:ascii="方正仿宋_GBK" w:hAnsi="方正仿宋_GBK" w:eastAsia="方正仿宋_GBK" w:cs="方正仿宋_GBK"/>
          <w:b/>
          <w:bCs/>
          <w:color w:val="auto"/>
          <w:sz w:val="32"/>
          <w:szCs w:val="32"/>
          <w:lang w:val="en-US" w:eastAsia="zh-CN"/>
        </w:rPr>
        <w:t>二是</w:t>
      </w:r>
      <w:r>
        <w:rPr>
          <w:rFonts w:hint="eastAsia" w:ascii="方正仿宋_GBK" w:hAnsi="方正仿宋_GBK" w:eastAsia="方正仿宋_GBK" w:cs="方正仿宋_GBK"/>
          <w:b w:val="0"/>
          <w:bCs w:val="0"/>
          <w:color w:val="auto"/>
          <w:sz w:val="32"/>
          <w:szCs w:val="32"/>
          <w:lang w:val="en-US" w:eastAsia="zh-CN"/>
        </w:rPr>
        <w:t>自然资源类国有资产缺乏价值认定，市场准价体系难以运用其中，国有自然资源的统计目前侧重于实物量统计，对自然资源资产价值的统计和评估核算还处于起步阶段，尚无法准确估算；</w:t>
      </w:r>
      <w:r>
        <w:rPr>
          <w:rFonts w:hint="eastAsia" w:ascii="方正仿宋_GBK" w:hAnsi="方正仿宋_GBK" w:eastAsia="方正仿宋_GBK" w:cs="方正仿宋_GBK"/>
          <w:b/>
          <w:bCs/>
          <w:color w:val="auto"/>
          <w:sz w:val="32"/>
          <w:szCs w:val="32"/>
          <w:lang w:val="en-US" w:eastAsia="zh-CN"/>
        </w:rPr>
        <w:t>三是</w:t>
      </w:r>
      <w:r>
        <w:rPr>
          <w:rFonts w:hint="eastAsia" w:ascii="方正仿宋_GBK" w:hAnsi="方正仿宋_GBK" w:eastAsia="方正仿宋_GBK" w:cs="方正仿宋_GBK"/>
          <w:b w:val="0"/>
          <w:bCs w:val="0"/>
          <w:color w:val="auto"/>
          <w:sz w:val="32"/>
          <w:szCs w:val="32"/>
          <w:lang w:val="en-US" w:eastAsia="zh-CN"/>
        </w:rPr>
        <w:t>国家层面尚未提出明确的技术规范和标准，国有自然资源资产的填报口径、技术路线尚不明确，计量和统计标准有待规范和统一。</w:t>
      </w:r>
      <w:r>
        <w:rPr>
          <w:rFonts w:hint="eastAsia" w:ascii="方正仿宋_GBK" w:hAnsi="方正仿宋_GBK" w:eastAsia="方正仿宋_GBK" w:cs="方正仿宋_GBK"/>
          <w:b/>
          <w:bCs/>
          <w:color w:val="auto"/>
          <w:sz w:val="32"/>
          <w:szCs w:val="32"/>
          <w:lang w:val="en-US" w:eastAsia="zh-CN"/>
        </w:rPr>
        <w:t>四是</w:t>
      </w:r>
      <w:r>
        <w:rPr>
          <w:rFonts w:hint="eastAsia" w:ascii="方正仿宋_GBK" w:hAnsi="方正仿宋_GBK" w:eastAsia="方正仿宋_GBK" w:cs="方正仿宋_GBK"/>
          <w:b w:val="0"/>
          <w:bCs w:val="0"/>
          <w:color w:val="auto"/>
          <w:sz w:val="32"/>
          <w:szCs w:val="32"/>
          <w:lang w:val="en-US" w:eastAsia="zh-CN"/>
        </w:rPr>
        <w:t>矿山生态环境治理工作已经全面开展，治理资金需资金保障，不能及时支付。</w:t>
      </w:r>
    </w:p>
    <w:p>
      <w:pPr>
        <w:pStyle w:val="8"/>
        <w:pageBreakBefore w:val="0"/>
        <w:widowControl w:val="0"/>
        <w:kinsoku/>
        <w:wordWrap/>
        <w:overflowPunct/>
        <w:topLinePunct w:val="0"/>
        <w:autoSpaceDE/>
        <w:autoSpaceDN/>
        <w:bidi w:val="0"/>
        <w:spacing w:line="550" w:lineRule="exact"/>
        <w:ind w:firstLine="64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color w:val="auto"/>
          <w:sz w:val="32"/>
          <w:szCs w:val="32"/>
          <w:lang w:val="en-US" w:eastAsia="zh-CN"/>
        </w:rPr>
        <w:t>三</w:t>
      </w:r>
      <w:r>
        <w:rPr>
          <w:rFonts w:hint="default" w:ascii="Times New Roman" w:hAnsi="Times New Roman" w:eastAsia="方正黑体_GBK" w:cs="Times New Roman"/>
          <w:color w:val="auto"/>
          <w:sz w:val="32"/>
          <w:szCs w:val="32"/>
        </w:rPr>
        <w:t>、</w:t>
      </w:r>
      <w:r>
        <w:rPr>
          <w:rFonts w:hint="default" w:ascii="Times New Roman" w:hAnsi="Times New Roman" w:eastAsia="方正黑体_GBK" w:cs="Times New Roman"/>
          <w:color w:val="auto"/>
          <w:sz w:val="32"/>
          <w:szCs w:val="32"/>
          <w:lang w:val="en-US" w:eastAsia="zh-CN"/>
        </w:rPr>
        <w:t>强化</w:t>
      </w:r>
      <w:r>
        <w:rPr>
          <w:rFonts w:hint="default" w:ascii="Times New Roman" w:hAnsi="Times New Roman" w:eastAsia="方正黑体_GBK" w:cs="Times New Roman"/>
          <w:color w:val="auto"/>
          <w:sz w:val="32"/>
          <w:szCs w:val="32"/>
        </w:rPr>
        <w:t>国有资产管理工作措施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val="en-US" w:eastAsia="zh-CN"/>
        </w:rPr>
        <w:t>（一）国有企业资产</w:t>
      </w:r>
    </w:p>
    <w:p>
      <w:pPr>
        <w:pStyle w:val="8"/>
        <w:pageBreakBefore w:val="0"/>
        <w:widowControl w:val="0"/>
        <w:numPr>
          <w:ilvl w:val="0"/>
          <w:numId w:val="0"/>
        </w:numPr>
        <w:kinsoku/>
        <w:wordWrap/>
        <w:overflowPunct/>
        <w:topLinePunct w:val="0"/>
        <w:autoSpaceDE/>
        <w:autoSpaceDN/>
        <w:bidi w:val="0"/>
        <w:spacing w:line="550" w:lineRule="exact"/>
        <w:ind w:firstLine="643" w:firstLineChars="200"/>
        <w:textAlignment w:val="auto"/>
        <w:rPr>
          <w:rFonts w:hint="eastAsia" w:ascii="方正仿宋_GBK" w:hAnsi="方正仿宋_GBK" w:eastAsia="方正仿宋_GBK" w:cs="方正仿宋_GBK"/>
          <w:b/>
          <w:bCs/>
          <w:kern w:val="2"/>
          <w:sz w:val="32"/>
          <w:szCs w:val="32"/>
          <w:highlight w:val="none"/>
          <w:lang w:val="en-US" w:eastAsia="zh-CN" w:bidi="ar-SA"/>
        </w:rPr>
      </w:pPr>
      <w:r>
        <w:rPr>
          <w:rFonts w:hint="default" w:ascii="Times New Roman" w:hAnsi="Times New Roman" w:eastAsia="方正仿宋_GBK" w:cs="Times New Roman"/>
          <w:b/>
          <w:bCs/>
          <w:kern w:val="2"/>
          <w:sz w:val="32"/>
          <w:szCs w:val="32"/>
          <w:lang w:val="en-US" w:eastAsia="zh-CN" w:bidi="ar-SA"/>
        </w:rPr>
        <w:t>1.</w:t>
      </w:r>
      <w:r>
        <w:rPr>
          <w:rFonts w:hint="eastAsia" w:ascii="方正仿宋_GBK" w:hAnsi="方正仿宋_GBK" w:eastAsia="方正仿宋_GBK" w:cs="方正仿宋_GBK"/>
          <w:b/>
          <w:bCs/>
          <w:kern w:val="2"/>
          <w:sz w:val="32"/>
          <w:szCs w:val="32"/>
          <w:highlight w:val="none"/>
          <w:lang w:val="en-US" w:eastAsia="zh-CN" w:bidi="ar-SA"/>
        </w:rPr>
        <w:t>加大固定资产项目统筹推进力度</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bCs/>
          <w:sz w:val="32"/>
          <w:szCs w:val="32"/>
          <w:highlight w:val="none"/>
          <w:lang w:val="en-US" w:eastAsia="zh-CN"/>
        </w:rPr>
        <w:t>一是</w:t>
      </w:r>
      <w:r>
        <w:rPr>
          <w:rFonts w:hint="default" w:ascii="Times New Roman" w:hAnsi="Times New Roman" w:eastAsia="方正仿宋_GBK" w:cs="Times New Roman"/>
          <w:sz w:val="32"/>
          <w:szCs w:val="32"/>
          <w:highlight w:val="none"/>
          <w:lang w:val="en-US" w:eastAsia="zh-CN"/>
        </w:rPr>
        <w:t>督促国有企业加快推进项目建设，确保固定资产投资增量不低于上年同期水平。</w:t>
      </w:r>
      <w:r>
        <w:rPr>
          <w:rFonts w:hint="default" w:ascii="Times New Roman" w:hAnsi="Times New Roman" w:eastAsia="方正仿宋_GBK" w:cs="Times New Roman"/>
          <w:b/>
          <w:bCs/>
          <w:sz w:val="32"/>
          <w:szCs w:val="32"/>
          <w:highlight w:val="none"/>
          <w:lang w:val="en-US" w:eastAsia="zh-CN"/>
        </w:rPr>
        <w:t>二是</w:t>
      </w:r>
      <w:r>
        <w:rPr>
          <w:rFonts w:hint="eastAsia" w:ascii="Times New Roman" w:hAnsi="Times New Roman" w:eastAsia="方正仿宋_GBK" w:cs="Times New Roman"/>
          <w:sz w:val="32"/>
          <w:szCs w:val="32"/>
          <w:highlight w:val="none"/>
          <w:lang w:val="en-US" w:eastAsia="zh-CN"/>
        </w:rPr>
        <w:t>将</w:t>
      </w:r>
      <w:r>
        <w:rPr>
          <w:rFonts w:hint="default" w:ascii="Times New Roman" w:hAnsi="Times New Roman" w:eastAsia="方正仿宋_GBK" w:cs="Times New Roman"/>
          <w:sz w:val="32"/>
          <w:szCs w:val="32"/>
          <w:highlight w:val="none"/>
          <w:lang w:val="en-US" w:eastAsia="zh-CN"/>
        </w:rPr>
        <w:t>2023年度国有企业全部重点建设项目完成情况纳入企业年度经营考核目标范畴，</w:t>
      </w:r>
      <w:r>
        <w:rPr>
          <w:rFonts w:hint="eastAsia" w:ascii="Times New Roman" w:hAnsi="Times New Roman" w:eastAsia="方正仿宋_GBK" w:cs="Times New Roman"/>
          <w:sz w:val="32"/>
          <w:szCs w:val="32"/>
          <w:highlight w:val="none"/>
          <w:lang w:val="en-US" w:eastAsia="zh-CN"/>
        </w:rPr>
        <w:t>确保</w:t>
      </w:r>
      <w:r>
        <w:rPr>
          <w:rFonts w:hint="default" w:ascii="Times New Roman" w:hAnsi="Times New Roman" w:eastAsia="方正仿宋_GBK" w:cs="Times New Roman"/>
          <w:sz w:val="32"/>
          <w:szCs w:val="32"/>
          <w:highlight w:val="none"/>
          <w:lang w:val="en-US" w:eastAsia="zh-CN"/>
        </w:rPr>
        <w:t>顺利完成各项投资目标任务。三</w:t>
      </w:r>
      <w:r>
        <w:rPr>
          <w:rFonts w:hint="default" w:ascii="Times New Roman" w:hAnsi="Times New Roman" w:eastAsia="方正仿宋_GBK" w:cs="Times New Roman"/>
          <w:b/>
          <w:bCs/>
          <w:sz w:val="32"/>
          <w:szCs w:val="32"/>
          <w:highlight w:val="none"/>
          <w:lang w:val="en-US" w:eastAsia="zh-CN"/>
        </w:rPr>
        <w:t>是</w:t>
      </w:r>
      <w:r>
        <w:rPr>
          <w:rFonts w:hint="default" w:ascii="Times New Roman" w:hAnsi="Times New Roman" w:eastAsia="方正仿宋_GBK" w:cs="Times New Roman"/>
          <w:sz w:val="32"/>
          <w:szCs w:val="32"/>
          <w:highlight w:val="none"/>
          <w:lang w:val="en-US" w:eastAsia="zh-CN"/>
        </w:rPr>
        <w:t>组织建立国企项目库，加大推进区属国有企业与自治区国有企业、在疆中央企业子企业开展项目合作，加大项目储备。</w:t>
      </w:r>
      <w:r>
        <w:rPr>
          <w:rFonts w:hint="default" w:ascii="Times New Roman" w:hAnsi="Times New Roman" w:eastAsia="方正仿宋_GBK" w:cs="Times New Roman"/>
          <w:b/>
          <w:bCs/>
          <w:sz w:val="32"/>
          <w:szCs w:val="32"/>
          <w:highlight w:val="none"/>
          <w:lang w:val="en-US" w:eastAsia="zh-CN"/>
        </w:rPr>
        <w:t>四是</w:t>
      </w:r>
      <w:r>
        <w:rPr>
          <w:rFonts w:hint="default" w:ascii="Times New Roman" w:hAnsi="Times New Roman" w:eastAsia="方正仿宋_GBK" w:cs="Times New Roman"/>
          <w:sz w:val="32"/>
          <w:szCs w:val="32"/>
          <w:highlight w:val="none"/>
          <w:lang w:val="en-US" w:eastAsia="zh-CN"/>
        </w:rPr>
        <w:t>加大项目投资力度，对所有重点建设项目实施挂图作战，倒排工期，完成既定建设任务</w:t>
      </w:r>
      <w:r>
        <w:rPr>
          <w:rFonts w:hint="eastAsia" w:ascii="Times New Roman" w:hAnsi="Times New Roman" w:eastAsia="方正仿宋_GBK" w:cs="Times New Roman"/>
          <w:sz w:val="32"/>
          <w:szCs w:val="32"/>
          <w:highlight w:val="none"/>
          <w:lang w:val="en-US" w:eastAsia="zh-CN"/>
        </w:rPr>
        <w:t>。</w:t>
      </w:r>
    </w:p>
    <w:p>
      <w:pPr>
        <w:pStyle w:val="8"/>
        <w:pageBreakBefore w:val="0"/>
        <w:widowControl w:val="0"/>
        <w:numPr>
          <w:ilvl w:val="0"/>
          <w:numId w:val="0"/>
        </w:numPr>
        <w:kinsoku/>
        <w:wordWrap/>
        <w:overflowPunct/>
        <w:topLinePunct w:val="0"/>
        <w:autoSpaceDE/>
        <w:autoSpaceDN/>
        <w:bidi w:val="0"/>
        <w:spacing w:line="550" w:lineRule="exact"/>
        <w:ind w:firstLine="643"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bCs/>
          <w:kern w:val="2"/>
          <w:sz w:val="32"/>
          <w:szCs w:val="32"/>
          <w:lang w:val="en-US" w:eastAsia="zh-CN" w:bidi="ar-SA"/>
        </w:rPr>
        <w:t>2.</w:t>
      </w:r>
      <w:r>
        <w:rPr>
          <w:rFonts w:hint="default" w:ascii="Times New Roman" w:hAnsi="Times New Roman" w:eastAsia="方正仿宋_GBK" w:cs="Times New Roman"/>
          <w:b/>
          <w:bCs/>
          <w:kern w:val="2"/>
          <w:sz w:val="32"/>
          <w:szCs w:val="32"/>
          <w:lang w:val="en-US" w:eastAsia="zh-CN" w:bidi="ar-SA"/>
        </w:rPr>
        <w:t>严格防范债务风险，加大国企资金统筹调度</w:t>
      </w:r>
      <w:r>
        <w:rPr>
          <w:rFonts w:hint="eastAsia" w:ascii="Times New Roman" w:hAnsi="Times New Roman" w:eastAsia="方正仿宋_GBK" w:cs="Times New Roman"/>
          <w:b/>
          <w:bCs/>
          <w:kern w:val="2"/>
          <w:sz w:val="32"/>
          <w:szCs w:val="32"/>
          <w:lang w:val="en-US" w:eastAsia="zh-CN" w:bidi="ar-SA"/>
        </w:rPr>
        <w:t>。</w:t>
      </w:r>
      <w:r>
        <w:rPr>
          <w:rFonts w:hint="default" w:ascii="Times New Roman" w:hAnsi="Times New Roman" w:eastAsia="方正仿宋_GBK" w:cs="Times New Roman"/>
          <w:b/>
          <w:bCs/>
          <w:color w:val="auto"/>
          <w:sz w:val="32"/>
          <w:szCs w:val="32"/>
          <w:lang w:val="en-US" w:eastAsia="zh-CN"/>
        </w:rPr>
        <w:t>一是</w:t>
      </w:r>
      <w:r>
        <w:rPr>
          <w:rFonts w:hint="default" w:ascii="Times New Roman" w:hAnsi="Times New Roman" w:eastAsia="方正仿宋_GBK" w:cs="Times New Roman"/>
          <w:color w:val="auto"/>
          <w:sz w:val="32"/>
          <w:szCs w:val="32"/>
          <w:lang w:val="en-US" w:eastAsia="zh-CN"/>
        </w:rPr>
        <w:t>严格防范系统性债务风险，提前做到企业年度还本付息资金需与每笔融资资金实现点对点对应，要求建立保险机制，确保债务良性循环和逐步化解；</w:t>
      </w:r>
      <w:r>
        <w:rPr>
          <w:rFonts w:hint="default" w:ascii="Times New Roman" w:hAnsi="Times New Roman" w:eastAsia="方正仿宋_GBK" w:cs="Times New Roman"/>
          <w:b/>
          <w:bCs/>
          <w:color w:val="auto"/>
          <w:sz w:val="32"/>
          <w:szCs w:val="32"/>
          <w:lang w:val="en-US" w:eastAsia="zh-CN"/>
        </w:rPr>
        <w:t>二是</w:t>
      </w:r>
      <w:r>
        <w:rPr>
          <w:rFonts w:hint="default" w:ascii="Times New Roman" w:hAnsi="Times New Roman" w:eastAsia="方正仿宋_GBK" w:cs="Times New Roman"/>
          <w:color w:val="auto"/>
          <w:sz w:val="32"/>
          <w:szCs w:val="32"/>
          <w:lang w:val="en-US" w:eastAsia="zh-CN"/>
        </w:rPr>
        <w:t>加强与各金融机构的业务对接，拓宽融资渠道，以满足国有企业资金运作需要；</w:t>
      </w:r>
      <w:r>
        <w:rPr>
          <w:rFonts w:hint="default" w:ascii="Times New Roman" w:hAnsi="Times New Roman" w:eastAsia="方正仿宋_GBK" w:cs="Times New Roman"/>
          <w:b/>
          <w:bCs/>
          <w:color w:val="auto"/>
          <w:sz w:val="32"/>
          <w:szCs w:val="32"/>
          <w:lang w:val="en-US" w:eastAsia="zh-CN"/>
        </w:rPr>
        <w:t>三是</w:t>
      </w:r>
      <w:r>
        <w:rPr>
          <w:rFonts w:hint="default" w:ascii="Times New Roman" w:hAnsi="Times New Roman" w:eastAsia="方正仿宋_GBK" w:cs="Times New Roman"/>
          <w:color w:val="auto"/>
          <w:sz w:val="32"/>
          <w:szCs w:val="32"/>
          <w:lang w:val="en-US" w:eastAsia="zh-CN"/>
        </w:rPr>
        <w:t>定期统计国有企业资金链情况，及时掌握企业资金使用及结余情况，确保国有企业资金的平稳运行；</w:t>
      </w:r>
      <w:r>
        <w:rPr>
          <w:rFonts w:hint="default" w:ascii="Times New Roman" w:hAnsi="Times New Roman" w:eastAsia="方正仿宋_GBK" w:cs="Times New Roman"/>
          <w:b/>
          <w:bCs/>
          <w:color w:val="auto"/>
          <w:sz w:val="32"/>
          <w:szCs w:val="32"/>
          <w:lang w:val="en-US" w:eastAsia="zh-CN"/>
        </w:rPr>
        <w:t>四是</w:t>
      </w:r>
      <w:r>
        <w:rPr>
          <w:rFonts w:hint="default" w:ascii="Times New Roman" w:hAnsi="Times New Roman" w:eastAsia="方正仿宋_GBK" w:cs="Times New Roman"/>
          <w:color w:val="auto"/>
          <w:sz w:val="32"/>
          <w:szCs w:val="32"/>
          <w:lang w:val="en-US" w:eastAsia="zh-CN"/>
        </w:rPr>
        <w:t>充分发挥区资金结算（中心）公司作用，加大对国有企业资金的归集力度，最大限度地保障区属国有企业资金的良性调度。</w:t>
      </w:r>
    </w:p>
    <w:p>
      <w:pPr>
        <w:keepNext w:val="0"/>
        <w:keepLines w:val="0"/>
        <w:pageBreakBefore w:val="0"/>
        <w:widowControl w:val="0"/>
        <w:kinsoku/>
        <w:wordWrap/>
        <w:overflowPunct/>
        <w:topLinePunct w:val="0"/>
        <w:autoSpaceDE/>
        <w:autoSpaceDN/>
        <w:bidi w:val="0"/>
        <w:adjustRightInd/>
        <w:spacing w:line="550" w:lineRule="exact"/>
        <w:ind w:firstLine="643" w:firstLineChars="200"/>
        <w:jc w:val="left"/>
        <w:textAlignment w:val="auto"/>
        <w:rPr>
          <w:rFonts w:hint="default" w:ascii="Times New Roman" w:hAnsi="Times New Roman" w:eastAsia="方正仿宋_GBK" w:cs="Times New Roman"/>
          <w:sz w:val="32"/>
          <w:szCs w:val="32"/>
          <w:highlight w:val="none"/>
          <w:lang w:val="en-US" w:eastAsia="zh-CN"/>
        </w:rPr>
      </w:pPr>
      <w:r>
        <w:rPr>
          <w:rFonts w:hint="eastAsia" w:eastAsia="方正仿宋_GBK" w:cs="Times New Roman"/>
          <w:b/>
          <w:bCs/>
          <w:kern w:val="2"/>
          <w:sz w:val="32"/>
          <w:szCs w:val="32"/>
          <w:lang w:val="en-US" w:eastAsia="zh-CN" w:bidi="ar-SA"/>
        </w:rPr>
        <w:t>3</w:t>
      </w:r>
      <w:r>
        <w:rPr>
          <w:rFonts w:hint="eastAsia" w:ascii="Times New Roman" w:hAnsi="Times New Roman" w:eastAsia="方正仿宋_GBK" w:cs="Times New Roman"/>
          <w:b/>
          <w:bCs/>
          <w:kern w:val="2"/>
          <w:sz w:val="32"/>
          <w:szCs w:val="32"/>
          <w:lang w:val="en-US" w:eastAsia="zh-CN" w:bidi="ar-SA"/>
        </w:rPr>
        <w:t>.</w:t>
      </w:r>
      <w:r>
        <w:rPr>
          <w:rFonts w:hint="eastAsia" w:ascii="方正仿宋_GBK" w:hAnsi="方正仿宋_GBK" w:eastAsia="方正仿宋_GBK" w:cs="方正仿宋_GBK"/>
          <w:b/>
          <w:bCs/>
          <w:kern w:val="2"/>
          <w:sz w:val="32"/>
          <w:szCs w:val="32"/>
          <w:highlight w:val="none"/>
          <w:lang w:val="en-US" w:eastAsia="zh-CN" w:bidi="ar-SA"/>
        </w:rPr>
        <w:t>优化国有企业资本结构，调整与重组产业结构。</w:t>
      </w:r>
      <w:r>
        <w:rPr>
          <w:rFonts w:hint="default" w:ascii="Times New Roman" w:hAnsi="Times New Roman" w:eastAsia="方正仿宋_GBK" w:cs="Times New Roman"/>
          <w:b/>
          <w:bCs/>
          <w:sz w:val="32"/>
          <w:szCs w:val="32"/>
          <w:highlight w:val="none"/>
          <w:lang w:val="en-US" w:eastAsia="zh-CN"/>
        </w:rPr>
        <w:t>一是</w:t>
      </w:r>
      <w:r>
        <w:rPr>
          <w:rFonts w:hint="default" w:ascii="Times New Roman" w:hAnsi="Times New Roman" w:eastAsia="方正仿宋_GBK" w:cs="Times New Roman"/>
          <w:sz w:val="32"/>
          <w:szCs w:val="32"/>
          <w:highlight w:val="none"/>
          <w:lang w:val="en-US" w:eastAsia="zh-CN"/>
        </w:rPr>
        <w:t>对区属国有企业资产结构进行进一步优化调整。按照“业务相近、产业相关”原则，充分考虑行业划分和市场关系，通过股权调整，进一步重组整合区属国有企业产业资源；</w:t>
      </w:r>
      <w:r>
        <w:rPr>
          <w:rFonts w:hint="default" w:ascii="Times New Roman" w:hAnsi="Times New Roman" w:eastAsia="方正仿宋_GBK" w:cs="Times New Roman"/>
          <w:b/>
          <w:bCs/>
          <w:sz w:val="32"/>
          <w:szCs w:val="32"/>
          <w:highlight w:val="none"/>
          <w:lang w:val="en-US" w:eastAsia="zh-CN"/>
        </w:rPr>
        <w:t>二是</w:t>
      </w:r>
      <w:r>
        <w:rPr>
          <w:rFonts w:hint="default" w:ascii="Times New Roman" w:hAnsi="Times New Roman" w:eastAsia="方正仿宋_GBK" w:cs="Times New Roman"/>
          <w:sz w:val="32"/>
          <w:szCs w:val="32"/>
          <w:highlight w:val="none"/>
          <w:lang w:val="en-US" w:eastAsia="zh-CN"/>
        </w:rPr>
        <w:t>增强各集团、一类公司对相关产业发展的引导能力，力争在各重点、关键性行业和关系到国计民生的基础性行业内，国有企业均能发挥引领和示范带头作用，最终形成资本聚集、产业聚集、优势聚集的千亿级区属企业集团平台。</w:t>
      </w:r>
    </w:p>
    <w:p>
      <w:pPr>
        <w:pStyle w:val="8"/>
        <w:pageBreakBefore w:val="0"/>
        <w:widowControl w:val="0"/>
        <w:kinsoku/>
        <w:wordWrap/>
        <w:overflowPunct/>
        <w:topLinePunct w:val="0"/>
        <w:autoSpaceDE/>
        <w:autoSpaceDN/>
        <w:bidi w:val="0"/>
        <w:spacing w:line="550" w:lineRule="exact"/>
        <w:ind w:firstLine="640"/>
        <w:textAlignment w:val="auto"/>
        <w:rPr>
          <w:rFonts w:hint="eastAsia" w:ascii="方正楷体_GBK" w:hAnsi="方正楷体_GBK" w:eastAsia="方正楷体_GBK" w:cs="方正楷体_GBK"/>
          <w:color w:val="auto"/>
          <w:kern w:val="2"/>
          <w:sz w:val="32"/>
          <w:szCs w:val="32"/>
          <w:highlight w:val="none"/>
          <w:lang w:val="en-US" w:eastAsia="zh-CN" w:bidi="ar-SA"/>
        </w:rPr>
      </w:pPr>
      <w:r>
        <w:rPr>
          <w:rFonts w:hint="eastAsia" w:ascii="方正楷体_GBK" w:hAnsi="方正楷体_GBK" w:eastAsia="方正楷体_GBK" w:cs="方正楷体_GBK"/>
          <w:color w:val="auto"/>
          <w:kern w:val="2"/>
          <w:sz w:val="32"/>
          <w:szCs w:val="32"/>
          <w:highlight w:val="none"/>
          <w:lang w:val="en-US" w:eastAsia="zh-CN" w:bidi="ar-SA"/>
        </w:rPr>
        <w:t>（二）金融企业国有资产</w:t>
      </w:r>
    </w:p>
    <w:p>
      <w:pPr>
        <w:pageBreakBefore w:val="0"/>
        <w:widowControl w:val="0"/>
        <w:kinsoku/>
        <w:wordWrap/>
        <w:overflowPunct/>
        <w:topLinePunct w:val="0"/>
        <w:autoSpaceDE/>
        <w:autoSpaceDN/>
        <w:bidi w:val="0"/>
        <w:adjustRightInd/>
        <w:snapToGrid/>
        <w:spacing w:beforeAutospacing="0" w:line="550" w:lineRule="exact"/>
        <w:ind w:firstLine="640"/>
        <w:textAlignment w:val="auto"/>
        <w:rPr>
          <w:rStyle w:val="22"/>
          <w:rFonts w:hint="default" w:ascii="Times New Roman" w:hAnsi="Times New Roman" w:eastAsia="方正仿宋_GBK" w:cs="Times New Roman"/>
          <w:sz w:val="32"/>
          <w:highlight w:val="none"/>
        </w:rPr>
      </w:pPr>
      <w:r>
        <w:rPr>
          <w:rFonts w:hint="default" w:ascii="Times New Roman" w:hAnsi="Times New Roman" w:eastAsia="方正仿宋_GBK" w:cs="Times New Roman"/>
          <w:b/>
          <w:bCs/>
          <w:sz w:val="32"/>
          <w:szCs w:val="32"/>
          <w:highlight w:val="none"/>
          <w:lang w:val="en-US" w:eastAsia="zh-CN" w:bidi="ar"/>
        </w:rPr>
        <w:t>1.进一步</w:t>
      </w:r>
      <w:r>
        <w:rPr>
          <w:rFonts w:hint="default" w:ascii="Times New Roman" w:hAnsi="Times New Roman" w:eastAsia="方正仿宋_GBK" w:cs="Times New Roman"/>
          <w:b/>
          <w:bCs/>
          <w:sz w:val="32"/>
          <w:szCs w:val="32"/>
        </w:rPr>
        <w:t>推动</w:t>
      </w:r>
      <w:r>
        <w:rPr>
          <w:rFonts w:hint="default" w:ascii="Times New Roman" w:hAnsi="Times New Roman" w:eastAsia="方正仿宋_GBK" w:cs="Times New Roman"/>
          <w:b/>
          <w:bCs/>
          <w:sz w:val="32"/>
          <w:szCs w:val="32"/>
          <w:lang w:val="en-US" w:eastAsia="zh-CN"/>
        </w:rPr>
        <w:t>基金</w:t>
      </w:r>
      <w:r>
        <w:rPr>
          <w:rFonts w:hint="default" w:ascii="Times New Roman" w:hAnsi="Times New Roman" w:eastAsia="方正仿宋_GBK" w:cs="Times New Roman"/>
          <w:b/>
          <w:bCs/>
          <w:sz w:val="32"/>
          <w:szCs w:val="32"/>
        </w:rPr>
        <w:t>支持实体经</w:t>
      </w:r>
      <w:r>
        <w:rPr>
          <w:rFonts w:hint="default" w:ascii="Times New Roman" w:hAnsi="Times New Roman" w:eastAsia="方正仿宋_GBK" w:cs="Times New Roman"/>
          <w:b/>
          <w:bCs/>
          <w:sz w:val="32"/>
          <w:szCs w:val="32"/>
          <w:lang w:val="en-US" w:eastAsia="zh-CN"/>
        </w:rPr>
        <w:t>济，支持驻区企业发展</w:t>
      </w:r>
      <w:r>
        <w:rPr>
          <w:rFonts w:hint="eastAsia" w:ascii="Times New Roman" w:hAnsi="Times New Roman" w:eastAsia="方正仿宋_GBK" w:cs="Times New Roman"/>
          <w:b/>
          <w:bCs/>
          <w:sz w:val="32"/>
          <w:szCs w:val="32"/>
          <w:lang w:val="en-US" w:eastAsia="zh-CN"/>
        </w:rPr>
        <w:t>。一是</w:t>
      </w:r>
      <w:r>
        <w:rPr>
          <w:rFonts w:hint="default" w:ascii="Times New Roman" w:hAnsi="Times New Roman" w:eastAsia="方正仿宋_GBK" w:cs="Times New Roman"/>
          <w:color w:val="000000"/>
          <w:sz w:val="32"/>
          <w:szCs w:val="32"/>
          <w:highlight w:val="none"/>
          <w:lang w:val="en-US" w:eastAsia="zh-CN"/>
        </w:rPr>
        <w:t>填补基金管理领域的空白，奠定产融结合的金融体系基础。</w:t>
      </w:r>
      <w:r>
        <w:rPr>
          <w:rFonts w:hint="default" w:ascii="Times New Roman" w:hAnsi="Times New Roman" w:eastAsia="方正仿宋_GBK" w:cs="Times New Roman"/>
          <w:color w:val="000000"/>
          <w:sz w:val="32"/>
          <w:szCs w:val="32"/>
          <w:highlight w:val="none"/>
        </w:rPr>
        <w:t>进一步优化企业战略布局，增强其在金融行业的影响力。</w:t>
      </w:r>
      <w:r>
        <w:rPr>
          <w:rFonts w:hint="eastAsia" w:ascii="Times New Roman" w:hAnsi="Times New Roman" w:eastAsia="方正仿宋_GBK" w:cs="Times New Roman"/>
          <w:b/>
          <w:bCs/>
          <w:color w:val="000000"/>
          <w:sz w:val="32"/>
          <w:szCs w:val="32"/>
          <w:highlight w:val="none"/>
          <w:lang w:eastAsia="zh-CN"/>
        </w:rPr>
        <w:t>二是</w:t>
      </w:r>
      <w:r>
        <w:rPr>
          <w:rFonts w:hint="default" w:ascii="Times New Roman" w:hAnsi="Times New Roman" w:eastAsia="方正仿宋_GBK" w:cs="Times New Roman"/>
          <w:color w:val="000000"/>
          <w:sz w:val="32"/>
          <w:szCs w:val="32"/>
          <w:highlight w:val="none"/>
          <w:lang w:val="en-US" w:eastAsia="zh-CN"/>
        </w:rPr>
        <w:t>运营管理产业引导基金，助力经开区招商引资工作</w:t>
      </w:r>
      <w:r>
        <w:rPr>
          <w:rFonts w:hint="eastAsia" w:ascii="Times New Roman" w:hAnsi="Times New Roman"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rPr>
        <w:t>充分发挥引导基金市场化、撬动社会资本的引导放大作用。</w:t>
      </w:r>
      <w:r>
        <w:rPr>
          <w:rFonts w:hint="eastAsia" w:ascii="Times New Roman" w:hAnsi="Times New Roman" w:eastAsia="方正仿宋_GBK" w:cs="Times New Roman"/>
          <w:b/>
          <w:bCs/>
          <w:color w:val="000000"/>
          <w:sz w:val="32"/>
          <w:szCs w:val="32"/>
          <w:highlight w:val="none"/>
          <w:lang w:val="en-US" w:eastAsia="zh-CN"/>
        </w:rPr>
        <w:t>三是</w:t>
      </w:r>
      <w:r>
        <w:rPr>
          <w:rFonts w:hint="default" w:ascii="Times New Roman" w:hAnsi="Times New Roman" w:eastAsia="方正仿宋_GBK" w:cs="Times New Roman"/>
          <w:color w:val="000000"/>
          <w:sz w:val="32"/>
          <w:szCs w:val="32"/>
          <w:highlight w:val="none"/>
        </w:rPr>
        <w:t>根据项目投资支持及招引落地情况，逐步增加基金实缴到位出资。</w:t>
      </w:r>
      <w:r>
        <w:rPr>
          <w:rFonts w:hint="eastAsia" w:ascii="Times New Roman" w:hAnsi="Times New Roman" w:eastAsia="方正仿宋_GBK" w:cs="Times New Roman"/>
          <w:b/>
          <w:bCs/>
          <w:color w:val="000000"/>
          <w:sz w:val="32"/>
          <w:szCs w:val="32"/>
          <w:highlight w:val="none"/>
          <w:lang w:eastAsia="zh-CN"/>
        </w:rPr>
        <w:t>四是</w:t>
      </w:r>
      <w:r>
        <w:rPr>
          <w:rFonts w:hint="default" w:ascii="Times New Roman" w:hAnsi="Times New Roman" w:eastAsia="方正仿宋_GBK" w:cs="Times New Roman"/>
          <w:color w:val="000000"/>
          <w:sz w:val="32"/>
          <w:szCs w:val="32"/>
          <w:highlight w:val="none"/>
          <w:lang w:val="en-US" w:eastAsia="zh-CN"/>
        </w:rPr>
        <w:t>创业社区基金设立转投入，基金完成首笔资金投放。</w:t>
      </w:r>
    </w:p>
    <w:p>
      <w:pPr>
        <w:pageBreakBefore w:val="0"/>
        <w:widowControl w:val="0"/>
        <w:numPr>
          <w:ilvl w:val="0"/>
          <w:numId w:val="0"/>
        </w:numPr>
        <w:tabs>
          <w:tab w:val="left" w:pos="784"/>
        </w:tabs>
        <w:kinsoku/>
        <w:wordWrap/>
        <w:overflowPunct/>
        <w:topLinePunct w:val="0"/>
        <w:autoSpaceDE/>
        <w:autoSpaceDN/>
        <w:bidi w:val="0"/>
        <w:adjustRightInd/>
        <w:snapToGrid/>
        <w:spacing w:beforeAutospacing="0" w:line="550" w:lineRule="exact"/>
        <w:ind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bCs/>
          <w:sz w:val="32"/>
          <w:szCs w:val="32"/>
          <w:highlight w:val="none"/>
          <w:lang w:val="en-US" w:eastAsia="zh-CN" w:bidi="ar"/>
        </w:rPr>
        <w:t>2.</w:t>
      </w:r>
      <w:r>
        <w:rPr>
          <w:rFonts w:hint="default" w:ascii="Times New Roman" w:hAnsi="Times New Roman" w:eastAsia="方正仿宋_GBK" w:cs="Times New Roman"/>
          <w:b/>
          <w:bCs/>
          <w:sz w:val="32"/>
          <w:szCs w:val="32"/>
          <w:highlight w:val="none"/>
          <w:lang w:bidi="ar"/>
        </w:rPr>
        <w:t>主动融入，全力服务全区经济社会发展大局</w:t>
      </w:r>
      <w:r>
        <w:rPr>
          <w:rFonts w:hint="eastAsia" w:ascii="Times New Roman" w:hAnsi="Times New Roman" w:eastAsia="方正仿宋_GBK" w:cs="Times New Roman"/>
          <w:b/>
          <w:bCs/>
          <w:sz w:val="32"/>
          <w:szCs w:val="32"/>
          <w:highlight w:val="none"/>
          <w:lang w:eastAsia="zh-CN" w:bidi="ar"/>
        </w:rPr>
        <w:t>。一是</w:t>
      </w:r>
      <w:r>
        <w:rPr>
          <w:rFonts w:hint="default" w:ascii="Times New Roman" w:hAnsi="Times New Roman" w:eastAsia="方正仿宋_GBK" w:cs="Times New Roman"/>
          <w:sz w:val="32"/>
          <w:szCs w:val="32"/>
          <w:highlight w:val="none"/>
          <w:lang w:val="en-US" w:eastAsia="zh-CN"/>
        </w:rPr>
        <w:t>搭建政企桥梁，缓解财政支付压力</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为政府采购名单中的驻区企业提供过渡性融资担保。</w:t>
      </w:r>
      <w:r>
        <w:rPr>
          <w:rFonts w:hint="eastAsia" w:ascii="Times New Roman" w:hAnsi="Times New Roman" w:eastAsia="方正仿宋_GBK" w:cs="Times New Roman"/>
          <w:b/>
          <w:bCs/>
          <w:sz w:val="32"/>
          <w:szCs w:val="32"/>
          <w:highlight w:val="none"/>
          <w:lang w:eastAsia="zh-CN"/>
        </w:rPr>
        <w:t>二是</w:t>
      </w:r>
      <w:r>
        <w:rPr>
          <w:rFonts w:hint="default" w:ascii="Times New Roman" w:hAnsi="Times New Roman" w:eastAsia="方正仿宋_GBK" w:cs="Times New Roman"/>
          <w:sz w:val="32"/>
          <w:szCs w:val="32"/>
          <w:highlight w:val="none"/>
          <w:lang w:val="en-US" w:eastAsia="zh-CN"/>
        </w:rPr>
        <w:t>开展政策性担保，助力财政收入应收尽收。</w:t>
      </w:r>
      <w:r>
        <w:rPr>
          <w:rFonts w:hint="eastAsia" w:ascii="Times New Roman" w:hAnsi="Times New Roman" w:eastAsia="方正仿宋_GBK" w:cs="Times New Roman"/>
          <w:sz w:val="32"/>
          <w:szCs w:val="32"/>
          <w:highlight w:val="none"/>
          <w:lang w:val="en-US" w:eastAsia="zh-CN"/>
        </w:rPr>
        <w:t>缓解</w:t>
      </w:r>
      <w:r>
        <w:rPr>
          <w:rFonts w:hint="default" w:ascii="Times New Roman" w:hAnsi="Times New Roman" w:eastAsia="方正仿宋_GBK" w:cs="Times New Roman"/>
          <w:sz w:val="32"/>
          <w:szCs w:val="32"/>
          <w:highlight w:val="none"/>
          <w:lang w:val="en-US" w:eastAsia="zh-CN"/>
        </w:rPr>
        <w:t>企业上缴土地出让金时的资金短缺等问题</w:t>
      </w:r>
      <w:r>
        <w:rPr>
          <w:rFonts w:hint="eastAsia"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b/>
          <w:bCs/>
          <w:sz w:val="32"/>
          <w:szCs w:val="32"/>
          <w:highlight w:val="none"/>
          <w:lang w:val="en-US" w:eastAsia="zh-CN"/>
        </w:rPr>
        <w:t>三是</w:t>
      </w:r>
      <w:r>
        <w:rPr>
          <w:rFonts w:hint="default" w:ascii="Times New Roman" w:hAnsi="Times New Roman" w:eastAsia="方正仿宋_GBK" w:cs="Times New Roman"/>
          <w:sz w:val="32"/>
          <w:szCs w:val="32"/>
          <w:highlight w:val="none"/>
        </w:rPr>
        <w:t>市场化拓展业务，创新担保方式扶持重点产业、重点企业发展</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解决</w:t>
      </w:r>
      <w:r>
        <w:rPr>
          <w:rFonts w:hint="eastAsia" w:ascii="Times New Roman" w:hAnsi="Times New Roman" w:eastAsia="方正仿宋_GBK" w:cs="Times New Roman"/>
          <w:sz w:val="32"/>
          <w:szCs w:val="32"/>
          <w:highlight w:val="none"/>
          <w:lang w:eastAsia="zh-CN"/>
        </w:rPr>
        <w:t>企业</w:t>
      </w:r>
      <w:r>
        <w:rPr>
          <w:rFonts w:hint="default" w:ascii="Times New Roman" w:hAnsi="Times New Roman" w:eastAsia="方正仿宋_GBK" w:cs="Times New Roman"/>
          <w:sz w:val="32"/>
          <w:szCs w:val="32"/>
          <w:highlight w:val="none"/>
        </w:rPr>
        <w:t>资金压力。</w:t>
      </w:r>
    </w:p>
    <w:p>
      <w:pPr>
        <w:pageBreakBefore w:val="0"/>
        <w:widowControl w:val="0"/>
        <w:tabs>
          <w:tab w:val="left" w:pos="784"/>
        </w:tabs>
        <w:kinsoku/>
        <w:wordWrap/>
        <w:overflowPunct/>
        <w:topLinePunct w:val="0"/>
        <w:autoSpaceDE/>
        <w:autoSpaceDN/>
        <w:bidi w:val="0"/>
        <w:adjustRightInd/>
        <w:snapToGrid/>
        <w:spacing w:beforeAutospacing="0" w:line="55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highlight w:val="none"/>
          <w:lang w:val="en-US" w:eastAsia="zh-CN" w:bidi="ar"/>
        </w:rPr>
        <w:t>3.</w:t>
      </w:r>
      <w:r>
        <w:rPr>
          <w:rFonts w:hint="default" w:ascii="Times New Roman" w:hAnsi="Times New Roman" w:eastAsia="方正仿宋_GBK" w:cs="Times New Roman"/>
          <w:b/>
          <w:bCs/>
          <w:sz w:val="32"/>
          <w:szCs w:val="32"/>
          <w:highlight w:val="none"/>
          <w:lang w:val="en-US" w:eastAsia="zh-CN" w:bidi="ar"/>
        </w:rPr>
        <w:t>以保理、供应链、融资租赁业务为抓手，提高区域金融业竞争力、创新力</w:t>
      </w:r>
      <w:r>
        <w:rPr>
          <w:rFonts w:hint="eastAsia" w:ascii="Times New Roman" w:hAnsi="Times New Roman" w:eastAsia="方正仿宋_GBK" w:cs="Times New Roman"/>
          <w:b/>
          <w:bCs/>
          <w:sz w:val="32"/>
          <w:szCs w:val="32"/>
          <w:highlight w:val="none"/>
          <w:lang w:val="en-US" w:eastAsia="zh-CN" w:bidi="ar"/>
        </w:rPr>
        <w:t>。一是</w:t>
      </w:r>
      <w:r>
        <w:rPr>
          <w:rFonts w:hint="default" w:ascii="Times New Roman" w:hAnsi="Times New Roman" w:eastAsia="方正仿宋_GBK" w:cs="Times New Roman"/>
          <w:sz w:val="32"/>
          <w:szCs w:val="32"/>
        </w:rPr>
        <w:t>借助持牌优势，整合各类信息，加强与经开区下辖各企业实体经济的合作，有效提高资金周转率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确保国有资产的保值增值。</w:t>
      </w:r>
      <w:r>
        <w:rPr>
          <w:rFonts w:hint="eastAsia"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sz w:val="32"/>
          <w:szCs w:val="32"/>
        </w:rPr>
        <w:t>不断优化供应链金融业务新模式，建立完善数据风控模型，不断提升供应链管理与融资服务的整体水平，通过供应链业务提升国有金融资产的规模集聚效应和资源利用率，提高区域金融业竞争力、创新力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有效发挥了示范带动和服务辐射作</w:t>
      </w:r>
      <w:r>
        <w:rPr>
          <w:rFonts w:hint="default" w:ascii="Times New Roman" w:hAnsi="Times New Roman" w:eastAsia="方正仿宋_GBK" w:cs="Times New Roman"/>
          <w:sz w:val="32"/>
          <w:szCs w:val="32"/>
          <w:lang w:val="en-US" w:eastAsia="zh-CN"/>
        </w:rPr>
        <w:t>用。</w:t>
      </w:r>
    </w:p>
    <w:p>
      <w:pPr>
        <w:pageBreakBefore w:val="0"/>
        <w:widowControl w:val="0"/>
        <w:tabs>
          <w:tab w:val="left" w:pos="784"/>
        </w:tabs>
        <w:kinsoku/>
        <w:wordWrap/>
        <w:overflowPunct/>
        <w:topLinePunct w:val="0"/>
        <w:autoSpaceDE/>
        <w:autoSpaceDN/>
        <w:bidi w:val="0"/>
        <w:adjustRightInd/>
        <w:snapToGrid/>
        <w:spacing w:beforeAutospacing="0" w:line="550" w:lineRule="exact"/>
        <w:ind w:firstLine="643" w:firstLineChars="200"/>
        <w:textAlignment w:val="auto"/>
        <w:rPr>
          <w:rFonts w:hint="default"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b/>
          <w:bCs/>
          <w:sz w:val="32"/>
          <w:szCs w:val="32"/>
          <w:highlight w:val="none"/>
          <w:lang w:val="en-US" w:eastAsia="zh-CN" w:bidi="ar"/>
        </w:rPr>
        <w:t>4.</w:t>
      </w:r>
      <w:r>
        <w:rPr>
          <w:rFonts w:hint="default" w:ascii="Times New Roman" w:hAnsi="Times New Roman" w:eastAsia="方正仿宋_GBK" w:cs="Times New Roman"/>
          <w:b/>
          <w:bCs/>
          <w:sz w:val="32"/>
          <w:szCs w:val="32"/>
          <w:highlight w:val="none"/>
          <w:lang w:val="en-US" w:eastAsia="zh-CN" w:bidi="ar"/>
        </w:rPr>
        <w:t>持续强化对公司的风险控制，加强合规管理</w:t>
      </w:r>
      <w:r>
        <w:rPr>
          <w:rFonts w:hint="eastAsia" w:ascii="Times New Roman" w:hAnsi="Times New Roman" w:eastAsia="方正仿宋_GBK" w:cs="Times New Roman"/>
          <w:b/>
          <w:bCs/>
          <w:sz w:val="32"/>
          <w:szCs w:val="32"/>
          <w:highlight w:val="none"/>
          <w:lang w:val="en-US" w:eastAsia="zh-CN" w:bidi="ar"/>
        </w:rPr>
        <w:t>。</w:t>
      </w:r>
      <w:r>
        <w:rPr>
          <w:rFonts w:hint="default" w:ascii="Times New Roman" w:hAnsi="Times New Roman" w:eastAsia="方正仿宋_GBK" w:cs="Times New Roman"/>
          <w:kern w:val="2"/>
          <w:sz w:val="32"/>
          <w:szCs w:val="32"/>
          <w:highlight w:val="none"/>
          <w:lang w:val="en-US" w:eastAsia="zh-CN" w:bidi="ar-SA"/>
        </w:rPr>
        <w:t>制订风险控制、审计及法务事务等制度体系，及时识别、系统分析经营活动中与实现经营目标相关的风险，对关键风险领域及重要业务、重大风险隐患及时防范化解预警及排查。</w:t>
      </w:r>
      <w:r>
        <w:rPr>
          <w:rFonts w:hint="eastAsia" w:ascii="Times New Roman" w:hAnsi="Times New Roman" w:eastAsia="方正仿宋_GBK" w:cs="Times New Roman"/>
          <w:kern w:val="2"/>
          <w:sz w:val="32"/>
          <w:szCs w:val="32"/>
          <w:highlight w:val="none"/>
          <w:lang w:val="en-US" w:eastAsia="zh-CN" w:bidi="ar-SA"/>
        </w:rPr>
        <w:t>持续</w:t>
      </w:r>
      <w:r>
        <w:rPr>
          <w:rFonts w:hint="default" w:ascii="Times New Roman" w:hAnsi="Times New Roman" w:eastAsia="方正仿宋_GBK" w:cs="Times New Roman"/>
          <w:kern w:val="2"/>
          <w:sz w:val="32"/>
          <w:szCs w:val="32"/>
          <w:highlight w:val="none"/>
          <w:lang w:val="en-US" w:eastAsia="zh-CN" w:bidi="ar-SA"/>
        </w:rPr>
        <w:t>开展风险较小的非融资性担保业务，完善各项风控制度及业务流程，并根据项目风险研判结果实时监控企业经营情况，同时大力开展预付款保函、合同履约及工程履约担保等非融资性担保业务。</w:t>
      </w:r>
    </w:p>
    <w:p>
      <w:pPr>
        <w:pStyle w:val="3"/>
        <w:pageBreakBefore w:val="0"/>
        <w:widowControl w:val="0"/>
        <w:numPr>
          <w:ilvl w:val="2"/>
          <w:numId w:val="0"/>
        </w:numPr>
        <w:kinsoku/>
        <w:wordWrap/>
        <w:overflowPunct/>
        <w:topLinePunct w:val="0"/>
        <w:autoSpaceDE/>
        <w:autoSpaceDN/>
        <w:bidi w:val="0"/>
        <w:spacing w:line="550" w:lineRule="exact"/>
        <w:ind w:leftChars="0" w:firstLine="640" w:firstLineChars="200"/>
        <w:textAlignment w:val="auto"/>
        <w:rPr>
          <w:rFonts w:hint="default" w:ascii="Times New Roman" w:hAnsi="Times New Roman" w:eastAsia="方正楷体_GBK" w:cs="Times New Roman"/>
          <w:b w:val="0"/>
          <w:bCs w:val="0"/>
          <w:color w:val="auto"/>
          <w:sz w:val="32"/>
          <w:szCs w:val="32"/>
          <w:lang w:val="en-US" w:eastAsia="zh-CN"/>
        </w:rPr>
      </w:pPr>
      <w:r>
        <w:rPr>
          <w:rFonts w:hint="default" w:ascii="Times New Roman" w:hAnsi="Times New Roman" w:eastAsia="方正楷体_GBK" w:cs="Times New Roman"/>
          <w:b w:val="0"/>
          <w:bCs w:val="0"/>
          <w:color w:val="auto"/>
          <w:sz w:val="32"/>
          <w:szCs w:val="32"/>
          <w:lang w:val="en-US" w:eastAsia="zh-CN"/>
        </w:rPr>
        <w:t>（三）行政事业国有资产</w:t>
      </w:r>
    </w:p>
    <w:p>
      <w:pPr>
        <w:pageBreakBefore w:val="0"/>
        <w:widowControl w:val="0"/>
        <w:tabs>
          <w:tab w:val="left" w:pos="784"/>
        </w:tabs>
        <w:kinsoku/>
        <w:wordWrap/>
        <w:overflowPunct/>
        <w:topLinePunct w:val="0"/>
        <w:autoSpaceDE/>
        <w:autoSpaceDN/>
        <w:bidi w:val="0"/>
        <w:adjustRightInd/>
        <w:snapToGrid/>
        <w:spacing w:beforeAutospacing="0" w:line="55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highlight w:val="none"/>
          <w:lang w:val="en-US" w:eastAsia="zh-CN" w:bidi="ar"/>
        </w:rPr>
        <w:t>1.加大国有资产配置管理。</w:t>
      </w:r>
      <w:r>
        <w:rPr>
          <w:rFonts w:hint="eastAsia" w:ascii="Times New Roman" w:hAnsi="Times New Roman" w:eastAsia="方正仿宋_GBK" w:cs="Times New Roman"/>
          <w:sz w:val="32"/>
          <w:szCs w:val="32"/>
          <w:lang w:val="en-US" w:eastAsia="zh-CN"/>
        </w:rPr>
        <w:t>在资产管理过程中，各单位应秉持勤俭节约的理念，优先通过调剂方式配置资产，</w:t>
      </w:r>
      <w:r>
        <w:rPr>
          <w:rFonts w:ascii="Times New Roman" w:hAnsi="Times New Roman" w:eastAsia="方正仿宋_GBK" w:cs="Times New Roman"/>
          <w:sz w:val="32"/>
          <w:szCs w:val="32"/>
        </w:rPr>
        <w:t>将资产购置与预算管理、政府采购</w:t>
      </w:r>
      <w:r>
        <w:rPr>
          <w:rFonts w:hint="eastAsia" w:ascii="Times New Roman" w:hAnsi="Times New Roman" w:eastAsia="方正仿宋_GBK" w:cs="Times New Roman"/>
          <w:sz w:val="32"/>
          <w:szCs w:val="32"/>
          <w:lang w:val="en-US" w:eastAsia="zh-CN"/>
        </w:rPr>
        <w:t>相</w:t>
      </w:r>
      <w:r>
        <w:rPr>
          <w:rFonts w:ascii="Times New Roman" w:hAnsi="Times New Roman" w:eastAsia="方正仿宋_GBK" w:cs="Times New Roman"/>
          <w:sz w:val="32"/>
          <w:szCs w:val="32"/>
        </w:rPr>
        <w:t>结合，结合实际</w:t>
      </w:r>
      <w:r>
        <w:rPr>
          <w:rFonts w:hint="eastAsia" w:ascii="Times New Roman" w:hAnsi="Times New Roman" w:eastAsia="方正仿宋_GBK" w:cs="Times New Roman"/>
          <w:sz w:val="32"/>
          <w:szCs w:val="32"/>
          <w:lang w:val="en-US" w:eastAsia="zh-CN"/>
        </w:rPr>
        <w:t>制定</w:t>
      </w:r>
      <w:r>
        <w:rPr>
          <w:rFonts w:ascii="Times New Roman" w:hAnsi="Times New Roman" w:eastAsia="方正仿宋_GBK" w:cs="Times New Roman"/>
          <w:sz w:val="32"/>
          <w:szCs w:val="32"/>
        </w:rPr>
        <w:t>本年度资产购置预算</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财政</w:t>
      </w:r>
      <w:r>
        <w:rPr>
          <w:rFonts w:hint="eastAsia" w:ascii="Times New Roman" w:hAnsi="Times New Roman" w:eastAsia="方正仿宋_GBK" w:cs="Times New Roman"/>
          <w:sz w:val="32"/>
          <w:szCs w:val="32"/>
          <w:lang w:eastAsia="zh-CN"/>
        </w:rPr>
        <w:t>部门</w:t>
      </w:r>
      <w:r>
        <w:rPr>
          <w:rFonts w:ascii="Times New Roman" w:hAnsi="Times New Roman" w:eastAsia="方正仿宋_GBK" w:cs="Times New Roman"/>
          <w:sz w:val="32"/>
          <w:szCs w:val="32"/>
        </w:rPr>
        <w:t>根据单位的采购预算</w:t>
      </w:r>
      <w:r>
        <w:rPr>
          <w:rFonts w:hint="eastAsia" w:ascii="Times New Roman" w:hAnsi="Times New Roman" w:eastAsia="方正仿宋_GBK" w:cs="Times New Roman"/>
          <w:sz w:val="32"/>
          <w:szCs w:val="32"/>
          <w:lang w:val="en-US" w:eastAsia="zh-CN"/>
        </w:rPr>
        <w:t>及资产存量情况进行采购审批</w:t>
      </w:r>
      <w:r>
        <w:rPr>
          <w:rFonts w:ascii="Times New Roman" w:hAnsi="Times New Roman" w:eastAsia="方正仿宋_GBK" w:cs="Times New Roman"/>
          <w:sz w:val="32"/>
          <w:szCs w:val="32"/>
        </w:rPr>
        <w:t>，从资金使用</w:t>
      </w:r>
      <w:r>
        <w:rPr>
          <w:rFonts w:hint="eastAsia" w:ascii="Times New Roman" w:hAnsi="Times New Roman" w:eastAsia="方正仿宋_GBK" w:cs="Times New Roman"/>
          <w:sz w:val="32"/>
          <w:szCs w:val="32"/>
          <w:lang w:val="en-US" w:eastAsia="zh-CN"/>
        </w:rPr>
        <w:t>和采购审批</w:t>
      </w:r>
      <w:r>
        <w:rPr>
          <w:rFonts w:ascii="Times New Roman" w:hAnsi="Times New Roman" w:eastAsia="方正仿宋_GBK" w:cs="Times New Roman"/>
          <w:sz w:val="32"/>
          <w:szCs w:val="32"/>
        </w:rPr>
        <w:t>上对资产购置进行控制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大力推行国有资产公物仓管理机制，推进实现资产管理</w:t>
      </w:r>
      <w:r>
        <w:rPr>
          <w:rFonts w:hint="eastAsia" w:ascii="Times New Roman" w:hAnsi="Times New Roman" w:eastAsia="方正仿宋_GBK" w:cs="Times New Roman"/>
          <w:sz w:val="32"/>
          <w:szCs w:val="32"/>
          <w:lang w:val="en-US" w:eastAsia="zh-CN"/>
        </w:rPr>
        <w:t>优化配置。</w:t>
      </w:r>
    </w:p>
    <w:p>
      <w:pPr>
        <w:pageBreakBefore w:val="0"/>
        <w:widowControl w:val="0"/>
        <w:tabs>
          <w:tab w:val="left" w:pos="784"/>
        </w:tabs>
        <w:kinsoku/>
        <w:wordWrap/>
        <w:overflowPunct/>
        <w:topLinePunct w:val="0"/>
        <w:autoSpaceDE/>
        <w:autoSpaceDN/>
        <w:bidi w:val="0"/>
        <w:adjustRightInd/>
        <w:snapToGrid/>
        <w:spacing w:beforeAutospacing="0" w:line="550" w:lineRule="exact"/>
        <w:ind w:firstLine="643"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highlight w:val="none"/>
          <w:lang w:val="en-US" w:eastAsia="zh-CN" w:bidi="ar"/>
        </w:rPr>
        <w:t>2.加强国有资产日常管理。</w:t>
      </w:r>
      <w:r>
        <w:rPr>
          <w:rFonts w:hint="eastAsia" w:ascii="Times New Roman" w:hAnsi="Times New Roman" w:eastAsia="方正仿宋_GBK" w:cs="Times New Roman"/>
          <w:sz w:val="32"/>
          <w:szCs w:val="32"/>
          <w:lang w:val="en-US" w:eastAsia="zh-CN"/>
        </w:rPr>
        <w:t>为保障行政事业单位的资产安全、完整、合理配置，各单位应设专人管理资产。明确资产使用人、管理人岗位职责，按照规程合理使用、规范管理资产，充分发挥资产效能。如资产使用人发生变动时，应及时办理资产交接手续。财政部门应完善资产管理制度，规范资产信息化管理，加大资产监督力度，定期或不定期组织资产清查工作。</w:t>
      </w:r>
    </w:p>
    <w:p>
      <w:pPr>
        <w:pageBreakBefore w:val="0"/>
        <w:widowControl w:val="0"/>
        <w:tabs>
          <w:tab w:val="left" w:pos="784"/>
        </w:tabs>
        <w:kinsoku/>
        <w:wordWrap/>
        <w:overflowPunct/>
        <w:topLinePunct w:val="0"/>
        <w:autoSpaceDE/>
        <w:autoSpaceDN/>
        <w:bidi w:val="0"/>
        <w:adjustRightInd/>
        <w:snapToGrid/>
        <w:spacing w:beforeAutospacing="0" w:line="550" w:lineRule="exact"/>
        <w:ind w:firstLine="643"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cs="Times New Roman"/>
          <w:b/>
          <w:bCs/>
          <w:sz w:val="32"/>
          <w:szCs w:val="32"/>
          <w:highlight w:val="none"/>
          <w:lang w:val="en-US" w:eastAsia="zh-CN" w:bidi="ar"/>
        </w:rPr>
        <w:t>3.强化国有资产监管力度。</w:t>
      </w:r>
      <w:r>
        <w:rPr>
          <w:rFonts w:hint="eastAsia" w:ascii="Times New Roman" w:hAnsi="Times New Roman" w:eastAsia="方正仿宋_GBK" w:cs="Times New Roman"/>
          <w:sz w:val="32"/>
          <w:szCs w:val="32"/>
          <w:lang w:val="en-US" w:eastAsia="zh-CN"/>
        </w:rPr>
        <w:t>高度重视国有资产监管工作存在的薄弱环节，加强行政事业性国有资产从“入口”到“出口”全生命周期监管，坚持国有资产主体责任与管理责任相结合，开展国有资产清查盘点、国有资产运营管理专项检查活动，并纳入各单位年度绩效考核。继续完善国有资产管理制度，建立健全国有资产监管机制，推动过于资产监管工作取得良好实效。</w:t>
      </w:r>
    </w:p>
    <w:p>
      <w:pPr>
        <w:pStyle w:val="3"/>
        <w:pageBreakBefore w:val="0"/>
        <w:widowControl w:val="0"/>
        <w:numPr>
          <w:ilvl w:val="2"/>
          <w:numId w:val="0"/>
        </w:numPr>
        <w:kinsoku/>
        <w:wordWrap/>
        <w:overflowPunct/>
        <w:topLinePunct w:val="0"/>
        <w:autoSpaceDE/>
        <w:autoSpaceDN/>
        <w:bidi w:val="0"/>
        <w:spacing w:line="550" w:lineRule="exact"/>
        <w:ind w:leftChars="0" w:firstLine="640" w:firstLineChars="200"/>
        <w:textAlignment w:val="auto"/>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highlight w:val="none"/>
          <w:lang w:val="en-US" w:eastAsia="zh-CN"/>
          <w14:textFill>
            <w14:solidFill>
              <w14:schemeClr w14:val="tx1"/>
            </w14:solidFill>
          </w14:textFill>
        </w:rPr>
        <w:t>（四）自然资源国有资产</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color w:val="auto"/>
          <w:sz w:val="32"/>
          <w:szCs w:val="32"/>
          <w:highlight w:val="none"/>
          <w:lang w:val="en-US" w:eastAsia="zh-CN"/>
        </w:rPr>
        <w:t>1.坚守最严格的耕地保护制度和最严格的节约用地制度。</w:t>
      </w:r>
      <w:r>
        <w:rPr>
          <w:rFonts w:hint="eastAsia" w:ascii="方正仿宋_GBK" w:hAnsi="方正仿宋_GBK" w:eastAsia="方正仿宋_GBK" w:cs="方正仿宋_GBK"/>
          <w:color w:val="auto"/>
          <w:sz w:val="32"/>
          <w:szCs w:val="32"/>
          <w:highlight w:val="none"/>
        </w:rPr>
        <w:t>坚持以习近平新时代“三农”思想为指导，围绕“质量兴农、绿色兴农”，扎实推进绿色防控和统防统治，着力提升农药利用率，</w:t>
      </w:r>
      <w:r>
        <w:rPr>
          <w:rFonts w:hint="eastAsia" w:ascii="Times New Roman" w:hAnsi="Times New Roman" w:eastAsia="方正仿宋_GBK" w:cs="Times New Roman"/>
          <w:color w:val="auto"/>
          <w:sz w:val="32"/>
          <w:szCs w:val="32"/>
          <w:highlight w:val="none"/>
          <w:lang w:val="en-US" w:eastAsia="zh-CN"/>
        </w:rPr>
        <w:t xml:space="preserve">力争农作物病虫害绿色防控覆盖率达到52%,统防统治覆盖率达到50%，2023年水稻、小麦、玉米等主要粮食作物化学农药使用强度力争比 </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 xml:space="preserve">十三五 </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期间降低</w:t>
      </w:r>
      <w:r>
        <w:rPr>
          <w:rFonts w:hint="default" w:ascii="Times New Roman" w:hAnsi="Times New Roman" w:eastAsia="方正仿宋_GBK" w:cs="Times New Roman"/>
          <w:color w:val="auto"/>
          <w:sz w:val="32"/>
          <w:szCs w:val="32"/>
          <w:highlight w:val="none"/>
          <w:lang w:val="en-US" w:eastAsia="zh-CN"/>
        </w:rPr>
        <w:t xml:space="preserve">5 % </w:t>
      </w:r>
      <w:r>
        <w:rPr>
          <w:rFonts w:hint="eastAsia" w:ascii="Times New Roman" w:hAnsi="Times New Roman" w:eastAsia="方正仿宋_GBK" w:cs="Times New Roman"/>
          <w:color w:val="auto"/>
          <w:sz w:val="32"/>
          <w:szCs w:val="32"/>
          <w:highlight w:val="none"/>
          <w:lang w:val="en-US" w:eastAsia="zh-CN"/>
        </w:rPr>
        <w:t>，果菜茶等经济作物化学农药使用强度力争比</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十三五</w:t>
      </w:r>
      <w:r>
        <w:rPr>
          <w:rFonts w:hint="default" w:ascii="Times New Roman" w:hAnsi="Times New Roman"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期间降低</w:t>
      </w:r>
      <w:r>
        <w:rPr>
          <w:rFonts w:hint="eastAsia" w:eastAsia="方正仿宋_GBK" w:cs="Times New Roman"/>
          <w:color w:val="auto"/>
          <w:sz w:val="32"/>
          <w:szCs w:val="32"/>
          <w:highlight w:val="none"/>
          <w:lang w:val="en-US" w:eastAsia="zh-CN"/>
        </w:rPr>
        <w:t>10</w:t>
      </w:r>
      <w:r>
        <w:rPr>
          <w:rFonts w:hint="default" w:ascii="Times New Roman" w:hAnsi="Times New Roman" w:eastAsia="方正仿宋_GBK" w:cs="Times New Roman"/>
          <w:color w:val="auto"/>
          <w:sz w:val="32"/>
          <w:szCs w:val="32"/>
          <w:highlight w:val="none"/>
          <w:lang w:val="en-US" w:eastAsia="zh-CN"/>
        </w:rPr>
        <w:t xml:space="preserve">% </w:t>
      </w:r>
      <w:r>
        <w:rPr>
          <w:rFonts w:hint="eastAsia" w:ascii="Times New Roman" w:hAnsi="Times New Roman" w:eastAsia="方正仿宋_GBK" w:cs="Times New Roman"/>
          <w:color w:val="auto"/>
          <w:sz w:val="32"/>
          <w:szCs w:val="32"/>
          <w:highlight w:val="none"/>
          <w:lang w:val="en-US" w:eastAsia="zh-CN"/>
        </w:rPr>
        <w:t>，以确保粮食安全和农产品质量安全为目标。</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jc w:val="left"/>
        <w:textAlignment w:val="auto"/>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b/>
          <w:bCs/>
          <w:sz w:val="32"/>
          <w:szCs w:val="32"/>
          <w:highlight w:val="none"/>
          <w:lang w:val="en-US" w:eastAsia="zh-CN"/>
        </w:rPr>
        <w:t>2.落实最严格的土地管理制度。</w:t>
      </w:r>
      <w:r>
        <w:rPr>
          <w:rFonts w:hint="eastAsia" w:ascii="Times New Roman" w:hAnsi="Times New Roman" w:eastAsia="方正仿宋_GBK" w:cs="Times New Roman"/>
          <w:sz w:val="32"/>
          <w:szCs w:val="32"/>
          <w:highlight w:val="none"/>
          <w:lang w:val="en-US" w:eastAsia="zh-CN"/>
        </w:rPr>
        <w:t>提高土地使用效率，加大闲置土地处置力度，与市自然资源局做好对接，明确我区未处置疑似闲置土地基数，建立台账，对于已开工的宗地督促企业递交资料，上传动态系统，消除闲置状态。</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3"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b/>
          <w:bCs/>
          <w:sz w:val="32"/>
          <w:szCs w:val="32"/>
          <w:highlight w:val="none"/>
          <w:lang w:val="en-US" w:eastAsia="zh-CN"/>
        </w:rPr>
        <w:t>3.科学研判用地需求。</w:t>
      </w:r>
      <w:r>
        <w:rPr>
          <w:rFonts w:hint="eastAsia" w:ascii="Times New Roman" w:hAnsi="Times New Roman" w:eastAsia="方正仿宋_GBK" w:cs="Times New Roman"/>
          <w:sz w:val="32"/>
          <w:szCs w:val="32"/>
          <w:highlight w:val="none"/>
          <w:lang w:val="en-US" w:eastAsia="zh-CN"/>
        </w:rPr>
        <w:t>严把生态红线、基本农田和城市边界三条红线，依法依规做好用地报批各项工作。</w:t>
      </w:r>
      <w:r>
        <w:rPr>
          <w:rFonts w:hint="eastAsia" w:eastAsia="方正仿宋_GBK" w:cs="Times New Roman"/>
          <w:color w:val="000000" w:themeColor="text1"/>
          <w:kern w:val="2"/>
          <w:sz w:val="32"/>
          <w:szCs w:val="32"/>
          <w:highlight w:val="none"/>
          <w:lang w:val="en-US" w:eastAsia="zh-CN" w:bidi="ar-SA"/>
          <w14:textFill>
            <w14:solidFill>
              <w14:schemeClr w14:val="tx1"/>
            </w14:solidFill>
          </w14:textFill>
        </w:rPr>
        <w:t>严厉查处违法违规占用耕地，严格管控耕地转为其他农用地，强化耕地用途管制。认</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真落实耕地保护责任加大耕地巡查力度，确保耕地数量不减少。</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以上是202</w:t>
      </w:r>
      <w:r>
        <w:rPr>
          <w:rFonts w:hint="eastAsia" w:eastAsia="方正仿宋_GBK" w:cs="Times New Roman"/>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方正仿宋_GBK" w:cs="Times New Roman"/>
          <w:color w:val="000000" w:themeColor="text1"/>
          <w:kern w:val="2"/>
          <w:sz w:val="32"/>
          <w:szCs w:val="32"/>
          <w:highlight w:val="none"/>
          <w:lang w:val="en-US" w:eastAsia="zh-CN" w:bidi="ar-SA"/>
          <w14:textFill>
            <w14:solidFill>
              <w14:schemeClr w14:val="tx1"/>
            </w14:solidFill>
          </w14:textFill>
        </w:rPr>
        <w:t>年我区国有企业（不含金融类）、金融企业、行政事业性、自然资源国有资产的总体情况。下一步，我们将认真贯彻落实党中央和自治区党委、市委决策部署，健全完善向区人大常委会报告国有资产管理情况制度，推进国有资产公开透明、保值增值和有效利用，使国有资产更好的服务发展、造福人民。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kern w:val="2"/>
          <w:sz w:val="21"/>
          <w:szCs w:val="24"/>
          <w:lang w:val="en-US" w:eastAsia="zh-CN" w:bidi="ar-SA"/>
        </w:rPr>
      </w:pPr>
      <w:r>
        <w:rPr>
          <w:rFonts w:hint="eastAsia" w:eastAsia="方正仿宋_GBK" w:cs="Times New Roman"/>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p>
    <w:sectPr>
      <w:footerReference r:id="rId3" w:type="default"/>
      <w:footerReference r:id="rId4" w:type="even"/>
      <w:pgSz w:w="11906" w:h="16838"/>
      <w:pgMar w:top="2098" w:right="1531" w:bottom="1984" w:left="1531" w:header="851" w:footer="992" w:gutter="0"/>
      <w:pgNumType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6641"/>
      <w:docPartObj>
        <w:docPartGallery w:val="autotext"/>
      </w:docPartObj>
    </w:sdtPr>
    <w:sdtContent>
      <w:p>
        <w:pPr>
          <w:pStyle w:val="9"/>
          <w:jc w:val="right"/>
        </w:pPr>
        <w:r>
          <w:rPr>
            <w:rFonts w:hint="eastAsia"/>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5</w:t>
        </w:r>
        <w:r>
          <w:rPr>
            <w:sz w:val="28"/>
            <w:szCs w:val="28"/>
          </w:rPr>
          <w:fldChar w:fldCharType="end"/>
        </w:r>
        <w:r>
          <w:rPr>
            <w:rFonts w:hint="eastAsia"/>
          </w:rPr>
          <w:t>—</w:t>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6645"/>
      <w:docPartObj>
        <w:docPartGallery w:val="autotext"/>
      </w:docPartObj>
    </w:sdtPr>
    <w:sdtContent>
      <w:p>
        <w:pPr>
          <w:pStyle w:val="9"/>
        </w:pPr>
        <w:r>
          <w:rPr>
            <w:rFonts w:hint="eastAsia"/>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rFonts w:hint="eastAsia"/>
          </w:rPr>
          <w:t>—</w:t>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6B2D3"/>
    <w:multiLevelType w:val="multilevel"/>
    <w:tmpl w:val="9C36B2D3"/>
    <w:lvl w:ilvl="0" w:tentative="0">
      <w:start w:val="1"/>
      <w:numFmt w:val="chineseCounting"/>
      <w:suff w:val="nothing"/>
      <w:lvlText w:val="第%1章 "/>
      <w:lvlJc w:val="left"/>
      <w:pPr>
        <w:tabs>
          <w:tab w:val="left" w:pos="0"/>
        </w:tabs>
        <w:ind w:left="432" w:hanging="432"/>
      </w:pPr>
      <w:rPr>
        <w:rFonts w:hint="eastAsia"/>
      </w:rPr>
    </w:lvl>
    <w:lvl w:ilvl="1" w:tentative="0">
      <w:start w:val="1"/>
      <w:numFmt w:val="decimal"/>
      <w:isLgl/>
      <w:suff w:val="space"/>
      <w:lvlText w:val="%1.%2"/>
      <w:lvlJc w:val="left"/>
      <w:pPr>
        <w:tabs>
          <w:tab w:val="left" w:pos="501"/>
        </w:tabs>
        <w:ind w:left="575" w:hanging="575"/>
      </w:pPr>
      <w:rPr>
        <w:rFonts w:hint="eastAsia" w:ascii="宋体" w:hAnsi="宋体" w:eastAsia="宋体"/>
      </w:rPr>
    </w:lvl>
    <w:lvl w:ilvl="2" w:tentative="0">
      <w:start w:val="1"/>
      <w:numFmt w:val="decimal"/>
      <w:pStyle w:val="3"/>
      <w:isLgl/>
      <w:suff w:val="space"/>
      <w:lvlText w:val="%1.%2.%3"/>
      <w:lvlJc w:val="left"/>
      <w:pPr>
        <w:tabs>
          <w:tab w:val="left" w:pos="499"/>
        </w:tabs>
        <w:ind w:left="720" w:hanging="720"/>
      </w:pPr>
      <w:rPr>
        <w:rFonts w:hint="eastAsia" w:ascii="宋体" w:hAnsi="宋体" w:eastAsia="宋体"/>
      </w:rPr>
    </w:lvl>
    <w:lvl w:ilvl="3" w:tentative="0">
      <w:start w:val="1"/>
      <w:numFmt w:val="decimal"/>
      <w:isLgl/>
      <w:lvlText w:val="%1.%2.%3.%4"/>
      <w:lvlJc w:val="left"/>
      <w:pPr>
        <w:ind w:left="864" w:hanging="864"/>
      </w:pPr>
      <w:rPr>
        <w:rFonts w:hint="eastAsia" w:ascii="宋体" w:hAnsi="宋体" w:eastAsia="宋体"/>
      </w:rPr>
    </w:lvl>
    <w:lvl w:ilvl="4" w:tentative="0">
      <w:start w:val="1"/>
      <w:numFmt w:val="decimal"/>
      <w:isLgl/>
      <w:lvlText w:val="%1.%2.%3.%4.%5"/>
      <w:lvlJc w:val="left"/>
      <w:pPr>
        <w:ind w:left="1008" w:hanging="1008"/>
      </w:pPr>
      <w:rPr>
        <w:rFonts w:hint="eastAsia" w:ascii="宋体" w:hAnsi="宋体" w:eastAsia="宋体"/>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46"/>
    <w:rsid w:val="00051F33"/>
    <w:rsid w:val="000836F8"/>
    <w:rsid w:val="000B1553"/>
    <w:rsid w:val="000B372C"/>
    <w:rsid w:val="001A7198"/>
    <w:rsid w:val="002456C9"/>
    <w:rsid w:val="002F5712"/>
    <w:rsid w:val="00317ECA"/>
    <w:rsid w:val="00396D0D"/>
    <w:rsid w:val="00493606"/>
    <w:rsid w:val="005459EF"/>
    <w:rsid w:val="005964F9"/>
    <w:rsid w:val="00600BC0"/>
    <w:rsid w:val="0066621B"/>
    <w:rsid w:val="00812433"/>
    <w:rsid w:val="009319EE"/>
    <w:rsid w:val="00947F48"/>
    <w:rsid w:val="00952446"/>
    <w:rsid w:val="009D3549"/>
    <w:rsid w:val="009D3C00"/>
    <w:rsid w:val="00BD67DB"/>
    <w:rsid w:val="00C342AC"/>
    <w:rsid w:val="00D1567C"/>
    <w:rsid w:val="00DE7130"/>
    <w:rsid w:val="00E133A3"/>
    <w:rsid w:val="00E67B33"/>
    <w:rsid w:val="00EB639D"/>
    <w:rsid w:val="00EB6E17"/>
    <w:rsid w:val="00F83617"/>
    <w:rsid w:val="00FD1F85"/>
    <w:rsid w:val="01616EF5"/>
    <w:rsid w:val="01802403"/>
    <w:rsid w:val="01B62976"/>
    <w:rsid w:val="01C96B49"/>
    <w:rsid w:val="01E87931"/>
    <w:rsid w:val="021A5544"/>
    <w:rsid w:val="02433EEA"/>
    <w:rsid w:val="025A386F"/>
    <w:rsid w:val="02B57696"/>
    <w:rsid w:val="02B707B2"/>
    <w:rsid w:val="02FE32C1"/>
    <w:rsid w:val="031A0A50"/>
    <w:rsid w:val="03217B1F"/>
    <w:rsid w:val="0335512D"/>
    <w:rsid w:val="03460827"/>
    <w:rsid w:val="038B05C5"/>
    <w:rsid w:val="03A55A4A"/>
    <w:rsid w:val="03CB386A"/>
    <w:rsid w:val="03CF3AF0"/>
    <w:rsid w:val="03EC1057"/>
    <w:rsid w:val="040D1790"/>
    <w:rsid w:val="04625773"/>
    <w:rsid w:val="047D5CBB"/>
    <w:rsid w:val="0481412B"/>
    <w:rsid w:val="04CC00CE"/>
    <w:rsid w:val="04E67778"/>
    <w:rsid w:val="04E73591"/>
    <w:rsid w:val="050429D1"/>
    <w:rsid w:val="05265BEC"/>
    <w:rsid w:val="05A3086A"/>
    <w:rsid w:val="05AE5389"/>
    <w:rsid w:val="05C77D01"/>
    <w:rsid w:val="05D15239"/>
    <w:rsid w:val="05DD1C06"/>
    <w:rsid w:val="05EF2763"/>
    <w:rsid w:val="05F16109"/>
    <w:rsid w:val="05F30925"/>
    <w:rsid w:val="06433A9B"/>
    <w:rsid w:val="064E4F9E"/>
    <w:rsid w:val="06520325"/>
    <w:rsid w:val="066E45F8"/>
    <w:rsid w:val="06E474EC"/>
    <w:rsid w:val="06FB1263"/>
    <w:rsid w:val="071473E8"/>
    <w:rsid w:val="07353F65"/>
    <w:rsid w:val="07407929"/>
    <w:rsid w:val="07474B41"/>
    <w:rsid w:val="077B1860"/>
    <w:rsid w:val="0785763F"/>
    <w:rsid w:val="07970755"/>
    <w:rsid w:val="07CC389A"/>
    <w:rsid w:val="07E14835"/>
    <w:rsid w:val="082D6656"/>
    <w:rsid w:val="086951F7"/>
    <w:rsid w:val="088678C9"/>
    <w:rsid w:val="089F6AAE"/>
    <w:rsid w:val="08E731E6"/>
    <w:rsid w:val="090B5F64"/>
    <w:rsid w:val="09265608"/>
    <w:rsid w:val="0955606B"/>
    <w:rsid w:val="098346F4"/>
    <w:rsid w:val="099D4B4D"/>
    <w:rsid w:val="09B17D1C"/>
    <w:rsid w:val="0A490C01"/>
    <w:rsid w:val="0AC20468"/>
    <w:rsid w:val="0AD3743E"/>
    <w:rsid w:val="0B0A48C7"/>
    <w:rsid w:val="0B1E235D"/>
    <w:rsid w:val="0B493381"/>
    <w:rsid w:val="0B6D3B4D"/>
    <w:rsid w:val="0B7B12B8"/>
    <w:rsid w:val="0BB65100"/>
    <w:rsid w:val="0BB84683"/>
    <w:rsid w:val="0BD56613"/>
    <w:rsid w:val="0C0F0A84"/>
    <w:rsid w:val="0C147418"/>
    <w:rsid w:val="0C5A6710"/>
    <w:rsid w:val="0C6515E5"/>
    <w:rsid w:val="0C68418F"/>
    <w:rsid w:val="0C867130"/>
    <w:rsid w:val="0C9B40E2"/>
    <w:rsid w:val="0CDB2B19"/>
    <w:rsid w:val="0CE84D34"/>
    <w:rsid w:val="0CFF37D7"/>
    <w:rsid w:val="0D015B8A"/>
    <w:rsid w:val="0D067FF4"/>
    <w:rsid w:val="0D442B0E"/>
    <w:rsid w:val="0D45705C"/>
    <w:rsid w:val="0D710075"/>
    <w:rsid w:val="0D827185"/>
    <w:rsid w:val="0D83729F"/>
    <w:rsid w:val="0DA3527F"/>
    <w:rsid w:val="0DB93285"/>
    <w:rsid w:val="0DC30E0E"/>
    <w:rsid w:val="0DCC753B"/>
    <w:rsid w:val="0E0A6EB1"/>
    <w:rsid w:val="0E1F52AF"/>
    <w:rsid w:val="0E694B11"/>
    <w:rsid w:val="0E824FC7"/>
    <w:rsid w:val="0E880B26"/>
    <w:rsid w:val="0EC31F08"/>
    <w:rsid w:val="0EC51E76"/>
    <w:rsid w:val="0ECA2D93"/>
    <w:rsid w:val="0ED01362"/>
    <w:rsid w:val="0ED94255"/>
    <w:rsid w:val="0EE055BC"/>
    <w:rsid w:val="0FF82E46"/>
    <w:rsid w:val="102960A8"/>
    <w:rsid w:val="1068673B"/>
    <w:rsid w:val="10C469FB"/>
    <w:rsid w:val="10FD1ABE"/>
    <w:rsid w:val="11011BAB"/>
    <w:rsid w:val="112843D9"/>
    <w:rsid w:val="1168169E"/>
    <w:rsid w:val="11B93203"/>
    <w:rsid w:val="11CA7429"/>
    <w:rsid w:val="1204235F"/>
    <w:rsid w:val="123D3AC0"/>
    <w:rsid w:val="12BB4B30"/>
    <w:rsid w:val="131B7F03"/>
    <w:rsid w:val="134E241F"/>
    <w:rsid w:val="137452AE"/>
    <w:rsid w:val="138A3759"/>
    <w:rsid w:val="13956275"/>
    <w:rsid w:val="13A52C43"/>
    <w:rsid w:val="13A707A7"/>
    <w:rsid w:val="13AB0F0F"/>
    <w:rsid w:val="13CC3A45"/>
    <w:rsid w:val="141B3F4D"/>
    <w:rsid w:val="142411E3"/>
    <w:rsid w:val="14D91236"/>
    <w:rsid w:val="1506025E"/>
    <w:rsid w:val="155A1F5D"/>
    <w:rsid w:val="15BE50B1"/>
    <w:rsid w:val="15BF00AE"/>
    <w:rsid w:val="16781CCB"/>
    <w:rsid w:val="167A4715"/>
    <w:rsid w:val="168C3790"/>
    <w:rsid w:val="16980569"/>
    <w:rsid w:val="16A46986"/>
    <w:rsid w:val="16CD6072"/>
    <w:rsid w:val="16D67FEB"/>
    <w:rsid w:val="16E45571"/>
    <w:rsid w:val="172011D1"/>
    <w:rsid w:val="17334324"/>
    <w:rsid w:val="17554040"/>
    <w:rsid w:val="177606AA"/>
    <w:rsid w:val="17784504"/>
    <w:rsid w:val="17967666"/>
    <w:rsid w:val="17971AD9"/>
    <w:rsid w:val="17B8629C"/>
    <w:rsid w:val="17F80812"/>
    <w:rsid w:val="1821325E"/>
    <w:rsid w:val="18490645"/>
    <w:rsid w:val="18581A0D"/>
    <w:rsid w:val="187D7427"/>
    <w:rsid w:val="1893350F"/>
    <w:rsid w:val="18A26654"/>
    <w:rsid w:val="18B46FEB"/>
    <w:rsid w:val="19041BA8"/>
    <w:rsid w:val="19B878CE"/>
    <w:rsid w:val="19C77514"/>
    <w:rsid w:val="19E16CFB"/>
    <w:rsid w:val="19E40B29"/>
    <w:rsid w:val="1A2D0F40"/>
    <w:rsid w:val="1A6143A6"/>
    <w:rsid w:val="1A6D20F5"/>
    <w:rsid w:val="1A7E2C2D"/>
    <w:rsid w:val="1AD25B20"/>
    <w:rsid w:val="1B34168A"/>
    <w:rsid w:val="1B5A43A6"/>
    <w:rsid w:val="1B8E3874"/>
    <w:rsid w:val="1B9F4942"/>
    <w:rsid w:val="1BD41595"/>
    <w:rsid w:val="1BF367A3"/>
    <w:rsid w:val="1C270A7D"/>
    <w:rsid w:val="1C4066B9"/>
    <w:rsid w:val="1C454C51"/>
    <w:rsid w:val="1C4743DB"/>
    <w:rsid w:val="1C524043"/>
    <w:rsid w:val="1C6B4B42"/>
    <w:rsid w:val="1CDA46D8"/>
    <w:rsid w:val="1CFD56ED"/>
    <w:rsid w:val="1D1854EC"/>
    <w:rsid w:val="1D597F4D"/>
    <w:rsid w:val="1D766478"/>
    <w:rsid w:val="1D7C2284"/>
    <w:rsid w:val="1D846D93"/>
    <w:rsid w:val="1D8F27BC"/>
    <w:rsid w:val="1DA86380"/>
    <w:rsid w:val="1DF62095"/>
    <w:rsid w:val="1E08557A"/>
    <w:rsid w:val="1E1E282C"/>
    <w:rsid w:val="1E3F6C17"/>
    <w:rsid w:val="1EB2559C"/>
    <w:rsid w:val="1EF74BF2"/>
    <w:rsid w:val="1F031541"/>
    <w:rsid w:val="1F191BDE"/>
    <w:rsid w:val="1F1C586E"/>
    <w:rsid w:val="1F497A22"/>
    <w:rsid w:val="1F534E41"/>
    <w:rsid w:val="1F68252D"/>
    <w:rsid w:val="1F74266E"/>
    <w:rsid w:val="1F812D1B"/>
    <w:rsid w:val="1FA579A3"/>
    <w:rsid w:val="1FCE0A1D"/>
    <w:rsid w:val="1FD3018F"/>
    <w:rsid w:val="1FE3387E"/>
    <w:rsid w:val="200E5B1D"/>
    <w:rsid w:val="202A14FE"/>
    <w:rsid w:val="20C85C27"/>
    <w:rsid w:val="20D54812"/>
    <w:rsid w:val="20E10E84"/>
    <w:rsid w:val="20EC0894"/>
    <w:rsid w:val="210F4DD8"/>
    <w:rsid w:val="21151AE3"/>
    <w:rsid w:val="215919F5"/>
    <w:rsid w:val="216C1685"/>
    <w:rsid w:val="21901ECD"/>
    <w:rsid w:val="219D0AA8"/>
    <w:rsid w:val="21CA5290"/>
    <w:rsid w:val="21F46002"/>
    <w:rsid w:val="222460F9"/>
    <w:rsid w:val="224F68FB"/>
    <w:rsid w:val="225D7868"/>
    <w:rsid w:val="22B50D72"/>
    <w:rsid w:val="22CE661C"/>
    <w:rsid w:val="22E10162"/>
    <w:rsid w:val="23093FF4"/>
    <w:rsid w:val="236B2EE4"/>
    <w:rsid w:val="238A4376"/>
    <w:rsid w:val="238B62AF"/>
    <w:rsid w:val="23A9694C"/>
    <w:rsid w:val="243C5D9A"/>
    <w:rsid w:val="2443446A"/>
    <w:rsid w:val="24536582"/>
    <w:rsid w:val="24720117"/>
    <w:rsid w:val="24D074F1"/>
    <w:rsid w:val="24EA26F1"/>
    <w:rsid w:val="24EB7CCE"/>
    <w:rsid w:val="24FF1CD8"/>
    <w:rsid w:val="253E5FF1"/>
    <w:rsid w:val="25976699"/>
    <w:rsid w:val="25AA37A1"/>
    <w:rsid w:val="25AD5ADC"/>
    <w:rsid w:val="25CF013D"/>
    <w:rsid w:val="260A0E17"/>
    <w:rsid w:val="261036B1"/>
    <w:rsid w:val="268D7CE3"/>
    <w:rsid w:val="26914D0C"/>
    <w:rsid w:val="271F1D7D"/>
    <w:rsid w:val="277E071B"/>
    <w:rsid w:val="2784163D"/>
    <w:rsid w:val="27A72682"/>
    <w:rsid w:val="27B93255"/>
    <w:rsid w:val="27C316E0"/>
    <w:rsid w:val="280A7EA7"/>
    <w:rsid w:val="280D671D"/>
    <w:rsid w:val="281E0DCC"/>
    <w:rsid w:val="282F7C90"/>
    <w:rsid w:val="288F1AF9"/>
    <w:rsid w:val="289F5746"/>
    <w:rsid w:val="28D562F9"/>
    <w:rsid w:val="28F1479A"/>
    <w:rsid w:val="29217ACF"/>
    <w:rsid w:val="292E286D"/>
    <w:rsid w:val="29551CD5"/>
    <w:rsid w:val="29616EE9"/>
    <w:rsid w:val="29C3289C"/>
    <w:rsid w:val="29D81D72"/>
    <w:rsid w:val="29F84B73"/>
    <w:rsid w:val="2A07123D"/>
    <w:rsid w:val="2A16573F"/>
    <w:rsid w:val="2A1C6DC5"/>
    <w:rsid w:val="2A413291"/>
    <w:rsid w:val="2A433170"/>
    <w:rsid w:val="2A613146"/>
    <w:rsid w:val="2A681F76"/>
    <w:rsid w:val="2A6F0576"/>
    <w:rsid w:val="2A726073"/>
    <w:rsid w:val="2AA31B46"/>
    <w:rsid w:val="2AD06C29"/>
    <w:rsid w:val="2AD414CF"/>
    <w:rsid w:val="2AD53283"/>
    <w:rsid w:val="2AE11AB7"/>
    <w:rsid w:val="2B4014EF"/>
    <w:rsid w:val="2B4577B4"/>
    <w:rsid w:val="2B4E39C3"/>
    <w:rsid w:val="2BF011CF"/>
    <w:rsid w:val="2BFA7767"/>
    <w:rsid w:val="2BFD2594"/>
    <w:rsid w:val="2C655486"/>
    <w:rsid w:val="2C6F420F"/>
    <w:rsid w:val="2C8C584E"/>
    <w:rsid w:val="2CB05F42"/>
    <w:rsid w:val="2CB14F39"/>
    <w:rsid w:val="2CB21129"/>
    <w:rsid w:val="2CCB630C"/>
    <w:rsid w:val="2CF93E09"/>
    <w:rsid w:val="2D5C4570"/>
    <w:rsid w:val="2D975C70"/>
    <w:rsid w:val="2D9D3A18"/>
    <w:rsid w:val="2DDC4C1F"/>
    <w:rsid w:val="2DE74710"/>
    <w:rsid w:val="2DFB29FD"/>
    <w:rsid w:val="2DFD04AF"/>
    <w:rsid w:val="2E250B3F"/>
    <w:rsid w:val="2E256EF2"/>
    <w:rsid w:val="2E834B5C"/>
    <w:rsid w:val="2EA33271"/>
    <w:rsid w:val="2EA52945"/>
    <w:rsid w:val="2EA97D9F"/>
    <w:rsid w:val="2EBF7578"/>
    <w:rsid w:val="2ECC3C2E"/>
    <w:rsid w:val="2EFD0197"/>
    <w:rsid w:val="2F323135"/>
    <w:rsid w:val="2FA3653F"/>
    <w:rsid w:val="2FB068F7"/>
    <w:rsid w:val="2FBA5E1B"/>
    <w:rsid w:val="2FCA4B5F"/>
    <w:rsid w:val="2FF85BA2"/>
    <w:rsid w:val="30294EB5"/>
    <w:rsid w:val="304F1D9C"/>
    <w:rsid w:val="30771461"/>
    <w:rsid w:val="308C1DBC"/>
    <w:rsid w:val="30C277EB"/>
    <w:rsid w:val="30E73B7A"/>
    <w:rsid w:val="30F74742"/>
    <w:rsid w:val="31570BE5"/>
    <w:rsid w:val="317E0055"/>
    <w:rsid w:val="319A41B6"/>
    <w:rsid w:val="320B2953"/>
    <w:rsid w:val="32387924"/>
    <w:rsid w:val="326117CF"/>
    <w:rsid w:val="32986990"/>
    <w:rsid w:val="33024573"/>
    <w:rsid w:val="330B06BE"/>
    <w:rsid w:val="33234034"/>
    <w:rsid w:val="3355013A"/>
    <w:rsid w:val="337C064D"/>
    <w:rsid w:val="33B30BF4"/>
    <w:rsid w:val="33D46092"/>
    <w:rsid w:val="341119D4"/>
    <w:rsid w:val="343A1F50"/>
    <w:rsid w:val="348D5C40"/>
    <w:rsid w:val="34940438"/>
    <w:rsid w:val="34D11678"/>
    <w:rsid w:val="34D1418A"/>
    <w:rsid w:val="34DC5736"/>
    <w:rsid w:val="34EE313B"/>
    <w:rsid w:val="34EF5D7C"/>
    <w:rsid w:val="355419CA"/>
    <w:rsid w:val="355E15DC"/>
    <w:rsid w:val="358908D1"/>
    <w:rsid w:val="35E10138"/>
    <w:rsid w:val="365A2870"/>
    <w:rsid w:val="36A73E7A"/>
    <w:rsid w:val="36EE37BA"/>
    <w:rsid w:val="36F124CE"/>
    <w:rsid w:val="37222BFE"/>
    <w:rsid w:val="372B50C6"/>
    <w:rsid w:val="373000EC"/>
    <w:rsid w:val="3739783E"/>
    <w:rsid w:val="375850AA"/>
    <w:rsid w:val="3796473A"/>
    <w:rsid w:val="37D1793D"/>
    <w:rsid w:val="37E704F9"/>
    <w:rsid w:val="381A21EE"/>
    <w:rsid w:val="383B5286"/>
    <w:rsid w:val="384B7EB2"/>
    <w:rsid w:val="386C0930"/>
    <w:rsid w:val="38761FF8"/>
    <w:rsid w:val="3876569F"/>
    <w:rsid w:val="3881541D"/>
    <w:rsid w:val="38846385"/>
    <w:rsid w:val="388E59A6"/>
    <w:rsid w:val="389A2F26"/>
    <w:rsid w:val="389D3B92"/>
    <w:rsid w:val="38F61993"/>
    <w:rsid w:val="39144717"/>
    <w:rsid w:val="392E125A"/>
    <w:rsid w:val="39366ED0"/>
    <w:rsid w:val="395A4709"/>
    <w:rsid w:val="3A22772F"/>
    <w:rsid w:val="3A407B31"/>
    <w:rsid w:val="3A41018F"/>
    <w:rsid w:val="3A812425"/>
    <w:rsid w:val="3ABB5DE4"/>
    <w:rsid w:val="3AC31228"/>
    <w:rsid w:val="3B456167"/>
    <w:rsid w:val="3B47282D"/>
    <w:rsid w:val="3B8D0FF6"/>
    <w:rsid w:val="3B8F22C6"/>
    <w:rsid w:val="3B936F66"/>
    <w:rsid w:val="3BE31366"/>
    <w:rsid w:val="3C260F52"/>
    <w:rsid w:val="3C430E9B"/>
    <w:rsid w:val="3C6011FF"/>
    <w:rsid w:val="3C62664A"/>
    <w:rsid w:val="3C660C9E"/>
    <w:rsid w:val="3C6A5995"/>
    <w:rsid w:val="3C771423"/>
    <w:rsid w:val="3C830C9F"/>
    <w:rsid w:val="3C864F3E"/>
    <w:rsid w:val="3CAF0BF6"/>
    <w:rsid w:val="3CB33467"/>
    <w:rsid w:val="3CD672C0"/>
    <w:rsid w:val="3D036507"/>
    <w:rsid w:val="3D111601"/>
    <w:rsid w:val="3D7E5E0C"/>
    <w:rsid w:val="3D7F7F4E"/>
    <w:rsid w:val="3DBD5A6E"/>
    <w:rsid w:val="3E045A8B"/>
    <w:rsid w:val="3E555A7F"/>
    <w:rsid w:val="3E6C4079"/>
    <w:rsid w:val="3EBE7A11"/>
    <w:rsid w:val="3F230BC6"/>
    <w:rsid w:val="3F2F3146"/>
    <w:rsid w:val="3F351670"/>
    <w:rsid w:val="3F4B6E1A"/>
    <w:rsid w:val="3F632097"/>
    <w:rsid w:val="3F751885"/>
    <w:rsid w:val="3FB07B6D"/>
    <w:rsid w:val="3FBB7CFA"/>
    <w:rsid w:val="3FC64CD5"/>
    <w:rsid w:val="3FCE2118"/>
    <w:rsid w:val="401578C2"/>
    <w:rsid w:val="401E1A85"/>
    <w:rsid w:val="402776F8"/>
    <w:rsid w:val="406811EE"/>
    <w:rsid w:val="408B7AAD"/>
    <w:rsid w:val="40B052E2"/>
    <w:rsid w:val="40D40BBF"/>
    <w:rsid w:val="40F57336"/>
    <w:rsid w:val="40F874C8"/>
    <w:rsid w:val="412F4AF8"/>
    <w:rsid w:val="413B77E6"/>
    <w:rsid w:val="41525120"/>
    <w:rsid w:val="41696857"/>
    <w:rsid w:val="417D70EB"/>
    <w:rsid w:val="41B77CB7"/>
    <w:rsid w:val="41B80788"/>
    <w:rsid w:val="41BD1C76"/>
    <w:rsid w:val="42087CFD"/>
    <w:rsid w:val="424109B1"/>
    <w:rsid w:val="427B0775"/>
    <w:rsid w:val="42BB04BF"/>
    <w:rsid w:val="42D17059"/>
    <w:rsid w:val="42EF3DDD"/>
    <w:rsid w:val="43124876"/>
    <w:rsid w:val="43173F1A"/>
    <w:rsid w:val="433439D1"/>
    <w:rsid w:val="4344055B"/>
    <w:rsid w:val="4349148E"/>
    <w:rsid w:val="43621B45"/>
    <w:rsid w:val="43E81FD3"/>
    <w:rsid w:val="44865D2C"/>
    <w:rsid w:val="44A50E9A"/>
    <w:rsid w:val="44AA19AA"/>
    <w:rsid w:val="44EF7F98"/>
    <w:rsid w:val="451B73E1"/>
    <w:rsid w:val="45240398"/>
    <w:rsid w:val="456374C1"/>
    <w:rsid w:val="45724C1B"/>
    <w:rsid w:val="45B148D8"/>
    <w:rsid w:val="45CD4664"/>
    <w:rsid w:val="45CF4207"/>
    <w:rsid w:val="45E317F6"/>
    <w:rsid w:val="46260BB2"/>
    <w:rsid w:val="4655559F"/>
    <w:rsid w:val="467330FC"/>
    <w:rsid w:val="467606B0"/>
    <w:rsid w:val="4686199D"/>
    <w:rsid w:val="46B03761"/>
    <w:rsid w:val="46E92DC2"/>
    <w:rsid w:val="473712EA"/>
    <w:rsid w:val="47696436"/>
    <w:rsid w:val="477506A6"/>
    <w:rsid w:val="47847C47"/>
    <w:rsid w:val="4786503B"/>
    <w:rsid w:val="47952BEF"/>
    <w:rsid w:val="479B046A"/>
    <w:rsid w:val="47B46E94"/>
    <w:rsid w:val="481D5505"/>
    <w:rsid w:val="482B45E7"/>
    <w:rsid w:val="482C75CD"/>
    <w:rsid w:val="48707E51"/>
    <w:rsid w:val="48C67387"/>
    <w:rsid w:val="490A72E3"/>
    <w:rsid w:val="49243E5C"/>
    <w:rsid w:val="49397C66"/>
    <w:rsid w:val="49716C4A"/>
    <w:rsid w:val="49757E9A"/>
    <w:rsid w:val="499A037D"/>
    <w:rsid w:val="4A0C3461"/>
    <w:rsid w:val="4A4D6CC1"/>
    <w:rsid w:val="4A560F0C"/>
    <w:rsid w:val="4A8A145F"/>
    <w:rsid w:val="4AAF3FC1"/>
    <w:rsid w:val="4AB15D12"/>
    <w:rsid w:val="4AF332D2"/>
    <w:rsid w:val="4B1873EF"/>
    <w:rsid w:val="4B2E2766"/>
    <w:rsid w:val="4B2F51A0"/>
    <w:rsid w:val="4BBB1AFB"/>
    <w:rsid w:val="4BBB2B2C"/>
    <w:rsid w:val="4BFA2702"/>
    <w:rsid w:val="4C072D35"/>
    <w:rsid w:val="4C6B5326"/>
    <w:rsid w:val="4CD06BBE"/>
    <w:rsid w:val="4D0D2E39"/>
    <w:rsid w:val="4D1F1FEE"/>
    <w:rsid w:val="4D3B65C2"/>
    <w:rsid w:val="4D7A7F5D"/>
    <w:rsid w:val="4D9108F7"/>
    <w:rsid w:val="4DBE47EE"/>
    <w:rsid w:val="4DE03C57"/>
    <w:rsid w:val="4E562878"/>
    <w:rsid w:val="4E5A46F9"/>
    <w:rsid w:val="4E5E71E2"/>
    <w:rsid w:val="4E614448"/>
    <w:rsid w:val="4E9147BB"/>
    <w:rsid w:val="4E931F4F"/>
    <w:rsid w:val="4ED43EA9"/>
    <w:rsid w:val="4F312DCA"/>
    <w:rsid w:val="4F551EB8"/>
    <w:rsid w:val="4FC50CEF"/>
    <w:rsid w:val="500C2493"/>
    <w:rsid w:val="50885E54"/>
    <w:rsid w:val="50B564E7"/>
    <w:rsid w:val="50D307B1"/>
    <w:rsid w:val="50FD41D6"/>
    <w:rsid w:val="510363B5"/>
    <w:rsid w:val="510752FE"/>
    <w:rsid w:val="51184A2B"/>
    <w:rsid w:val="512F3DC0"/>
    <w:rsid w:val="513E4B75"/>
    <w:rsid w:val="51582A53"/>
    <w:rsid w:val="51A21363"/>
    <w:rsid w:val="51B730B2"/>
    <w:rsid w:val="51C61178"/>
    <w:rsid w:val="51D4749F"/>
    <w:rsid w:val="520D333F"/>
    <w:rsid w:val="52D05FE7"/>
    <w:rsid w:val="52E757C4"/>
    <w:rsid w:val="53144C52"/>
    <w:rsid w:val="53237F47"/>
    <w:rsid w:val="53556E56"/>
    <w:rsid w:val="53574FC8"/>
    <w:rsid w:val="537C2FE2"/>
    <w:rsid w:val="53983553"/>
    <w:rsid w:val="539A487B"/>
    <w:rsid w:val="53A27C2F"/>
    <w:rsid w:val="53DA594A"/>
    <w:rsid w:val="53E14698"/>
    <w:rsid w:val="540D7300"/>
    <w:rsid w:val="54903AEB"/>
    <w:rsid w:val="54AE09A1"/>
    <w:rsid w:val="54E8342C"/>
    <w:rsid w:val="54F42E0F"/>
    <w:rsid w:val="551226CF"/>
    <w:rsid w:val="553459DB"/>
    <w:rsid w:val="55711668"/>
    <w:rsid w:val="55727BE1"/>
    <w:rsid w:val="558D11A3"/>
    <w:rsid w:val="55AE68F2"/>
    <w:rsid w:val="55B91156"/>
    <w:rsid w:val="55BE782D"/>
    <w:rsid w:val="55C510FA"/>
    <w:rsid w:val="56661F61"/>
    <w:rsid w:val="5677347D"/>
    <w:rsid w:val="56823CA5"/>
    <w:rsid w:val="56B94D0E"/>
    <w:rsid w:val="56D10CE4"/>
    <w:rsid w:val="5715699A"/>
    <w:rsid w:val="57237BD0"/>
    <w:rsid w:val="576735F1"/>
    <w:rsid w:val="576D693E"/>
    <w:rsid w:val="57BC4BAA"/>
    <w:rsid w:val="57C22CAD"/>
    <w:rsid w:val="580C2D02"/>
    <w:rsid w:val="581330B6"/>
    <w:rsid w:val="581A1EDD"/>
    <w:rsid w:val="58256348"/>
    <w:rsid w:val="58390A95"/>
    <w:rsid w:val="584C6B64"/>
    <w:rsid w:val="58557AA1"/>
    <w:rsid w:val="58B64685"/>
    <w:rsid w:val="58DD7BE1"/>
    <w:rsid w:val="58DF0832"/>
    <w:rsid w:val="58E251C0"/>
    <w:rsid w:val="58EA3265"/>
    <w:rsid w:val="58ED2E90"/>
    <w:rsid w:val="59055B5E"/>
    <w:rsid w:val="595938EA"/>
    <w:rsid w:val="59CC2E29"/>
    <w:rsid w:val="59E94550"/>
    <w:rsid w:val="5A065E2A"/>
    <w:rsid w:val="5A401891"/>
    <w:rsid w:val="5A780FDA"/>
    <w:rsid w:val="5A8A34A0"/>
    <w:rsid w:val="5AC96782"/>
    <w:rsid w:val="5AEA2901"/>
    <w:rsid w:val="5AFB7E4E"/>
    <w:rsid w:val="5AFC1F35"/>
    <w:rsid w:val="5B172DB7"/>
    <w:rsid w:val="5B210D2B"/>
    <w:rsid w:val="5B315706"/>
    <w:rsid w:val="5B3E4A80"/>
    <w:rsid w:val="5B9E5814"/>
    <w:rsid w:val="5BCE091C"/>
    <w:rsid w:val="5BFA6624"/>
    <w:rsid w:val="5C100431"/>
    <w:rsid w:val="5C115852"/>
    <w:rsid w:val="5C134866"/>
    <w:rsid w:val="5C456A66"/>
    <w:rsid w:val="5C6E0DF3"/>
    <w:rsid w:val="5C8A12B9"/>
    <w:rsid w:val="5C94026C"/>
    <w:rsid w:val="5CA40FA2"/>
    <w:rsid w:val="5CAF427D"/>
    <w:rsid w:val="5CD95028"/>
    <w:rsid w:val="5D442AF5"/>
    <w:rsid w:val="5D786F1F"/>
    <w:rsid w:val="5D9628D4"/>
    <w:rsid w:val="5DAF2FF4"/>
    <w:rsid w:val="5DF46097"/>
    <w:rsid w:val="5E1478A1"/>
    <w:rsid w:val="5E1E08E2"/>
    <w:rsid w:val="5E1E2310"/>
    <w:rsid w:val="5E2F44E4"/>
    <w:rsid w:val="5E5D5F3D"/>
    <w:rsid w:val="5E97169B"/>
    <w:rsid w:val="5EDB4281"/>
    <w:rsid w:val="5F536A35"/>
    <w:rsid w:val="5FAC037B"/>
    <w:rsid w:val="5FB3163D"/>
    <w:rsid w:val="5FD53E7A"/>
    <w:rsid w:val="5FEA1B79"/>
    <w:rsid w:val="5FEE52D9"/>
    <w:rsid w:val="600824B8"/>
    <w:rsid w:val="603D21E5"/>
    <w:rsid w:val="60574A45"/>
    <w:rsid w:val="609E6690"/>
    <w:rsid w:val="61442D76"/>
    <w:rsid w:val="61446BD0"/>
    <w:rsid w:val="615B36C2"/>
    <w:rsid w:val="619F275E"/>
    <w:rsid w:val="62A17822"/>
    <w:rsid w:val="62B01934"/>
    <w:rsid w:val="62C419DB"/>
    <w:rsid w:val="62C57468"/>
    <w:rsid w:val="62E03185"/>
    <w:rsid w:val="62ED25A3"/>
    <w:rsid w:val="62FA7B07"/>
    <w:rsid w:val="63152855"/>
    <w:rsid w:val="633B3FA9"/>
    <w:rsid w:val="636231A7"/>
    <w:rsid w:val="63B314DB"/>
    <w:rsid w:val="63EF369C"/>
    <w:rsid w:val="64033258"/>
    <w:rsid w:val="64D02164"/>
    <w:rsid w:val="64FC36BB"/>
    <w:rsid w:val="65097895"/>
    <w:rsid w:val="65160232"/>
    <w:rsid w:val="65263566"/>
    <w:rsid w:val="653C63B5"/>
    <w:rsid w:val="65480590"/>
    <w:rsid w:val="654F0949"/>
    <w:rsid w:val="65597896"/>
    <w:rsid w:val="65A56C3E"/>
    <w:rsid w:val="65C60B9E"/>
    <w:rsid w:val="661F03D8"/>
    <w:rsid w:val="661F6D67"/>
    <w:rsid w:val="6622376F"/>
    <w:rsid w:val="66460D46"/>
    <w:rsid w:val="66605EA3"/>
    <w:rsid w:val="66E00DF3"/>
    <w:rsid w:val="66E02923"/>
    <w:rsid w:val="66EB5A11"/>
    <w:rsid w:val="66F50BF2"/>
    <w:rsid w:val="66FC41A5"/>
    <w:rsid w:val="671F12FD"/>
    <w:rsid w:val="67242309"/>
    <w:rsid w:val="6754423A"/>
    <w:rsid w:val="67675AA6"/>
    <w:rsid w:val="67710854"/>
    <w:rsid w:val="679C5341"/>
    <w:rsid w:val="67A24BA9"/>
    <w:rsid w:val="67BD3D41"/>
    <w:rsid w:val="67D17C48"/>
    <w:rsid w:val="67EE465D"/>
    <w:rsid w:val="686231F3"/>
    <w:rsid w:val="68CB03EC"/>
    <w:rsid w:val="68CC38B2"/>
    <w:rsid w:val="68DE758A"/>
    <w:rsid w:val="68E91EEC"/>
    <w:rsid w:val="69003E02"/>
    <w:rsid w:val="6918719D"/>
    <w:rsid w:val="69210480"/>
    <w:rsid w:val="692510A7"/>
    <w:rsid w:val="69397868"/>
    <w:rsid w:val="69C56810"/>
    <w:rsid w:val="69DA17AF"/>
    <w:rsid w:val="69E45B81"/>
    <w:rsid w:val="6A017DF4"/>
    <w:rsid w:val="6AD22273"/>
    <w:rsid w:val="6AE27127"/>
    <w:rsid w:val="6AF01557"/>
    <w:rsid w:val="6AF1521F"/>
    <w:rsid w:val="6B203C4F"/>
    <w:rsid w:val="6B2151D4"/>
    <w:rsid w:val="6B220BEA"/>
    <w:rsid w:val="6B713891"/>
    <w:rsid w:val="6B9840A2"/>
    <w:rsid w:val="6BB860FD"/>
    <w:rsid w:val="6C073E2F"/>
    <w:rsid w:val="6C161B96"/>
    <w:rsid w:val="6C46312C"/>
    <w:rsid w:val="6C503562"/>
    <w:rsid w:val="6C8D251B"/>
    <w:rsid w:val="6CC45E32"/>
    <w:rsid w:val="6CD460D9"/>
    <w:rsid w:val="6CF1404D"/>
    <w:rsid w:val="6D282507"/>
    <w:rsid w:val="6E1445E2"/>
    <w:rsid w:val="6E152193"/>
    <w:rsid w:val="6E576CEF"/>
    <w:rsid w:val="6E58241D"/>
    <w:rsid w:val="6E9A279B"/>
    <w:rsid w:val="6E9D5A54"/>
    <w:rsid w:val="6EAE77DD"/>
    <w:rsid w:val="6EB47FF9"/>
    <w:rsid w:val="6EDF3606"/>
    <w:rsid w:val="6F390018"/>
    <w:rsid w:val="6F3F12A7"/>
    <w:rsid w:val="6F9E1D3B"/>
    <w:rsid w:val="6FCB7893"/>
    <w:rsid w:val="6FFA1097"/>
    <w:rsid w:val="702C2103"/>
    <w:rsid w:val="70423AB6"/>
    <w:rsid w:val="704E3880"/>
    <w:rsid w:val="70526FA1"/>
    <w:rsid w:val="708E4689"/>
    <w:rsid w:val="711A6763"/>
    <w:rsid w:val="714D46E1"/>
    <w:rsid w:val="718E2DB7"/>
    <w:rsid w:val="71BF11B6"/>
    <w:rsid w:val="71E972DE"/>
    <w:rsid w:val="71ED5551"/>
    <w:rsid w:val="7201077A"/>
    <w:rsid w:val="721D2A71"/>
    <w:rsid w:val="72477CD4"/>
    <w:rsid w:val="725F78B6"/>
    <w:rsid w:val="72EE7D6A"/>
    <w:rsid w:val="72FD5682"/>
    <w:rsid w:val="72FF6CFF"/>
    <w:rsid w:val="73193063"/>
    <w:rsid w:val="73470B43"/>
    <w:rsid w:val="73572923"/>
    <w:rsid w:val="738A68B2"/>
    <w:rsid w:val="73B63C33"/>
    <w:rsid w:val="73E45C8B"/>
    <w:rsid w:val="73F75AF1"/>
    <w:rsid w:val="74293DA1"/>
    <w:rsid w:val="742C56DB"/>
    <w:rsid w:val="742F2E22"/>
    <w:rsid w:val="74366A28"/>
    <w:rsid w:val="74A0024A"/>
    <w:rsid w:val="74E7004B"/>
    <w:rsid w:val="75273898"/>
    <w:rsid w:val="75614935"/>
    <w:rsid w:val="75D9450A"/>
    <w:rsid w:val="75F963FF"/>
    <w:rsid w:val="76170AC8"/>
    <w:rsid w:val="764F7690"/>
    <w:rsid w:val="765B2B2B"/>
    <w:rsid w:val="767F1E1D"/>
    <w:rsid w:val="76854937"/>
    <w:rsid w:val="76E142C2"/>
    <w:rsid w:val="76FE54F5"/>
    <w:rsid w:val="77052CB8"/>
    <w:rsid w:val="77142D63"/>
    <w:rsid w:val="772F37AC"/>
    <w:rsid w:val="774C4491"/>
    <w:rsid w:val="775C1F5D"/>
    <w:rsid w:val="77884FA7"/>
    <w:rsid w:val="778D2420"/>
    <w:rsid w:val="77F637DE"/>
    <w:rsid w:val="780447C7"/>
    <w:rsid w:val="78381BE2"/>
    <w:rsid w:val="7839435B"/>
    <w:rsid w:val="785B2A97"/>
    <w:rsid w:val="785C0DF1"/>
    <w:rsid w:val="788351C9"/>
    <w:rsid w:val="78CA0B21"/>
    <w:rsid w:val="795813E0"/>
    <w:rsid w:val="795C03C9"/>
    <w:rsid w:val="79794D22"/>
    <w:rsid w:val="799624E3"/>
    <w:rsid w:val="79F71455"/>
    <w:rsid w:val="79FC0DE2"/>
    <w:rsid w:val="7A1C1944"/>
    <w:rsid w:val="7A5319E1"/>
    <w:rsid w:val="7A7163E6"/>
    <w:rsid w:val="7ADD4C6D"/>
    <w:rsid w:val="7AE02B2F"/>
    <w:rsid w:val="7B132980"/>
    <w:rsid w:val="7B193D73"/>
    <w:rsid w:val="7B645E95"/>
    <w:rsid w:val="7BC423C2"/>
    <w:rsid w:val="7BEF772F"/>
    <w:rsid w:val="7C48007C"/>
    <w:rsid w:val="7C67709E"/>
    <w:rsid w:val="7CB95812"/>
    <w:rsid w:val="7CC166D3"/>
    <w:rsid w:val="7CC73BFC"/>
    <w:rsid w:val="7CC9198A"/>
    <w:rsid w:val="7CE54CE1"/>
    <w:rsid w:val="7CF510B4"/>
    <w:rsid w:val="7D845A01"/>
    <w:rsid w:val="7D8F2080"/>
    <w:rsid w:val="7DC150A5"/>
    <w:rsid w:val="7DCF1E30"/>
    <w:rsid w:val="7E3F2C89"/>
    <w:rsid w:val="7E746F3F"/>
    <w:rsid w:val="7EAD2D4A"/>
    <w:rsid w:val="7EE86B85"/>
    <w:rsid w:val="7EEE563A"/>
    <w:rsid w:val="7F2C52B0"/>
    <w:rsid w:val="7F2C6FFA"/>
    <w:rsid w:val="7F546AF4"/>
    <w:rsid w:val="7F5C2A74"/>
    <w:rsid w:val="7F79756A"/>
    <w:rsid w:val="7F7A2577"/>
    <w:rsid w:val="7F996246"/>
    <w:rsid w:val="7FA26008"/>
    <w:rsid w:val="7FA4581D"/>
    <w:rsid w:val="7FCC5136"/>
    <w:rsid w:val="7FE77186"/>
    <w:rsid w:val="7FEC4B0B"/>
    <w:rsid w:val="7FFF64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200" w:firstLineChars="200"/>
      <w:jc w:val="center"/>
      <w:outlineLvl w:val="1"/>
    </w:pPr>
    <w:rPr>
      <w:rFonts w:eastAsia="方正小标宋_GBK"/>
      <w:bCs/>
      <w:sz w:val="44"/>
      <w:szCs w:val="32"/>
    </w:rPr>
  </w:style>
  <w:style w:type="paragraph" w:styleId="3">
    <w:name w:val="heading 3"/>
    <w:basedOn w:val="1"/>
    <w:next w:val="1"/>
    <w:semiHidden/>
    <w:unhideWhenUsed/>
    <w:qFormat/>
    <w:uiPriority w:val="0"/>
    <w:pPr>
      <w:keepNext/>
      <w:keepLines/>
      <w:numPr>
        <w:ilvl w:val="2"/>
        <w:numId w:val="1"/>
      </w:numPr>
      <w:spacing w:line="416" w:lineRule="auto"/>
      <w:ind w:left="720" w:hanging="720" w:firstLineChars="0"/>
      <w:jc w:val="left"/>
      <w:outlineLvl w:val="2"/>
    </w:pPr>
    <w:rPr>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style>
  <w:style w:type="paragraph" w:styleId="5">
    <w:name w:val="Body Text"/>
    <w:basedOn w:val="1"/>
    <w:qFormat/>
    <w:uiPriority w:val="0"/>
    <w:pPr>
      <w:spacing w:after="120" w:afterLines="0" w:afterAutospacing="0"/>
    </w:pPr>
    <w:rPr>
      <w:rFonts w:ascii="Calibri" w:hAnsi="Calibri"/>
    </w:rPr>
  </w:style>
  <w:style w:type="paragraph" w:styleId="6">
    <w:name w:val="Body Text Indent"/>
    <w:basedOn w:val="1"/>
    <w:next w:val="7"/>
    <w:qFormat/>
    <w:uiPriority w:val="0"/>
    <w:pPr>
      <w:ind w:firstLine="640" w:firstLineChars="200"/>
    </w:pPr>
    <w:rPr>
      <w:rFonts w:eastAsia="仿宋_GB2312"/>
      <w:sz w:val="32"/>
    </w:rPr>
  </w:style>
  <w:style w:type="paragraph" w:customStyle="1" w:styleId="7">
    <w:name w:val="Char Char Char"/>
    <w:basedOn w:val="1"/>
    <w:qFormat/>
    <w:uiPriority w:val="0"/>
  </w:style>
  <w:style w:type="paragraph" w:styleId="8">
    <w:name w:val="Plain Text"/>
    <w:basedOn w:val="1"/>
    <w:link w:val="19"/>
    <w:unhideWhenUsed/>
    <w:qFormat/>
    <w:uiPriority w:val="99"/>
    <w:rPr>
      <w:rFonts w:ascii="宋体" w:hAnsi="Courier New" w:cs="Courier New"/>
      <w:szCs w:val="21"/>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unhideWhenUsed/>
    <w:qFormat/>
    <w:uiPriority w:val="99"/>
    <w:pPr>
      <w:spacing w:after="4" w:line="225" w:lineRule="auto"/>
      <w:ind w:left="420" w:hanging="420"/>
    </w:pPr>
    <w:rPr>
      <w:rFonts w:hint="eastAsia" w:ascii="微软雅黑" w:hAnsi="微软雅黑"/>
      <w:sz w:val="30"/>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both"/>
    </w:pPr>
    <w:rPr>
      <w:kern w:val="0"/>
      <w:sz w:val="24"/>
      <w:lang w:val="en-US" w:eastAsia="zh-CN" w:bidi="ar"/>
    </w:rPr>
  </w:style>
  <w:style w:type="paragraph" w:styleId="13">
    <w:name w:val="Body Text First Indent 2"/>
    <w:basedOn w:val="6"/>
    <w:next w:val="1"/>
    <w:qFormat/>
    <w:uiPriority w:val="0"/>
    <w:pPr>
      <w:ind w:firstLine="42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页眉 Char"/>
    <w:basedOn w:val="16"/>
    <w:link w:val="10"/>
    <w:qFormat/>
    <w:uiPriority w:val="0"/>
    <w:rPr>
      <w:kern w:val="2"/>
      <w:sz w:val="18"/>
      <w:szCs w:val="18"/>
    </w:rPr>
  </w:style>
  <w:style w:type="character" w:customStyle="1" w:styleId="18">
    <w:name w:val="页脚 Char"/>
    <w:basedOn w:val="16"/>
    <w:link w:val="9"/>
    <w:qFormat/>
    <w:uiPriority w:val="99"/>
    <w:rPr>
      <w:kern w:val="2"/>
      <w:sz w:val="18"/>
      <w:szCs w:val="18"/>
    </w:rPr>
  </w:style>
  <w:style w:type="character" w:customStyle="1" w:styleId="19">
    <w:name w:val="纯文本 Char"/>
    <w:basedOn w:val="16"/>
    <w:link w:val="8"/>
    <w:qFormat/>
    <w:uiPriority w:val="99"/>
    <w:rPr>
      <w:rFonts w:ascii="宋体" w:hAnsi="Courier New" w:cs="Courier New"/>
      <w:kern w:val="2"/>
      <w:sz w:val="21"/>
      <w:szCs w:val="21"/>
    </w:rPr>
  </w:style>
  <w:style w:type="character" w:customStyle="1" w:styleId="20">
    <w:name w:val="text1"/>
    <w:qFormat/>
    <w:uiPriority w:val="99"/>
    <w:rPr>
      <w:rFonts w:ascii="宋体" w:hAnsi="宋体" w:eastAsia="宋体"/>
      <w:color w:val="000000"/>
      <w:spacing w:val="15"/>
      <w:sz w:val="21"/>
    </w:rPr>
  </w:style>
  <w:style w:type="paragraph" w:styleId="21">
    <w:name w:val="List Paragraph"/>
    <w:basedOn w:val="1"/>
    <w:qFormat/>
    <w:uiPriority w:val="99"/>
    <w:pPr>
      <w:ind w:firstLine="420" w:firstLineChars="200"/>
    </w:pPr>
  </w:style>
  <w:style w:type="character" w:customStyle="1" w:styleId="22">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694</Words>
  <Characters>3958</Characters>
  <Lines>32</Lines>
  <Paragraphs>9</Paragraphs>
  <TotalTime>3</TotalTime>
  <ScaleCrop>false</ScaleCrop>
  <LinksUpToDate>false</LinksUpToDate>
  <CharactersWithSpaces>4643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2019-01-01T08:28:00Z</dcterms:created>
  <dc:creator>张晓东</dc:creator>
  <cp:lastModifiedBy>李玲</cp:lastModifiedBy>
  <cp:lastPrinted>2023-11-24T11:41:00Z</cp:lastPrinted>
  <dcterms:modified xsi:type="dcterms:W3CDTF">2024-01-24T09:10:44Z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7BE11D611BC343048FE66232F54CEF00</vt:lpwstr>
  </property>
</Properties>
</file>