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pStyle w:val="13"/>
        <w:spacing w:line="56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rPr>
        <w:t>乌鲁木齐经济技术开发区（头屯河区）</w:t>
      </w:r>
    </w:p>
    <w:p>
      <w:pPr>
        <w:widowControl/>
        <w:spacing w:before="100" w:beforeAutospacing="1" w:after="100" w:afterAutospacing="1"/>
        <w:jc w:val="center"/>
        <w:outlineLvl w:val="1"/>
        <w:rPr>
          <w:rFonts w:hint="eastAsia" w:ascii="方正小标宋_GBK" w:hAnsi="宋体" w:eastAsia="方正小标宋_GBK"/>
          <w:kern w:val="0"/>
          <w:sz w:val="44"/>
          <w:szCs w:val="44"/>
          <w:highlight w:val="none"/>
          <w:lang w:eastAsia="zh-CN"/>
        </w:rPr>
      </w:pPr>
      <w:r>
        <w:rPr>
          <w:rFonts w:hint="eastAsia" w:ascii="方正小标宋_GBK" w:eastAsia="方正小标宋_GBK"/>
          <w:sz w:val="44"/>
          <w:szCs w:val="44"/>
          <w:highlight w:val="none"/>
        </w:rPr>
        <w:t>第二人民医院</w:t>
      </w:r>
      <w:r>
        <w:rPr>
          <w:rFonts w:hint="eastAsia" w:ascii="方正小标宋_GBK" w:eastAsia="方正小标宋_GBK"/>
          <w:sz w:val="44"/>
          <w:szCs w:val="44"/>
          <w:highlight w:val="none"/>
          <w:lang w:val="en-US" w:eastAsia="zh-CN"/>
        </w:rPr>
        <w:t>2022年度部门</w:t>
      </w:r>
      <w:r>
        <w:rPr>
          <w:rFonts w:hint="eastAsia" w:ascii="方正小标宋_GBK" w:hAnsi="宋体" w:eastAsia="方正小标宋_GBK"/>
          <w:kern w:val="0"/>
          <w:sz w:val="44"/>
          <w:szCs w:val="44"/>
          <w:highlight w:val="none"/>
          <w:lang w:eastAsia="zh-CN"/>
        </w:rPr>
        <w:t>决算</w:t>
      </w:r>
      <w:r>
        <w:rPr>
          <w:rFonts w:hint="eastAsia" w:ascii="方正小标宋_GBK" w:hAnsi="宋体" w:eastAsia="方正小标宋_GBK"/>
          <w:kern w:val="0"/>
          <w:sz w:val="44"/>
          <w:szCs w:val="44"/>
          <w:highlight w:val="none"/>
        </w:rPr>
        <w:t>公开</w:t>
      </w:r>
      <w:r>
        <w:rPr>
          <w:rFonts w:hint="eastAsia" w:ascii="方正小标宋_GBK" w:hAnsi="宋体" w:eastAsia="方正小标宋_GBK"/>
          <w:kern w:val="0"/>
          <w:sz w:val="44"/>
          <w:szCs w:val="44"/>
          <w:highlight w:val="none"/>
          <w:lang w:eastAsia="zh-CN"/>
        </w:rPr>
        <w:t>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 xml:space="preserve">第一部分 </w:t>
      </w:r>
      <w:r>
        <w:rPr>
          <w:rFonts w:hint="eastAsia" w:ascii="仿宋_GB2312" w:hAnsi="仿宋_GB2312" w:eastAsia="仿宋_GB2312" w:cs="仿宋_GB2312"/>
          <w:b/>
          <w:bCs/>
          <w:sz w:val="32"/>
          <w:szCs w:val="32"/>
          <w:highlight w:val="none"/>
          <w:lang w:eastAsia="zh-CN"/>
        </w:rPr>
        <w:t>单位</w:t>
      </w:r>
      <w:r>
        <w:rPr>
          <w:rFonts w:hint="eastAsia" w:ascii="仿宋_GB2312" w:hAnsi="仿宋_GB2312" w:eastAsia="仿宋_GB2312" w:cs="仿宋_GB2312"/>
          <w:b/>
          <w:bCs/>
          <w:sz w:val="32"/>
          <w:szCs w:val="32"/>
          <w:highlight w:val="none"/>
        </w:rPr>
        <w:t>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仿宋_GB2312" w:eastAsia="仿宋_GB2312"/>
          <w:sz w:val="32"/>
          <w:szCs w:val="32"/>
          <w:highlight w:val="none"/>
        </w:rPr>
      </w:pPr>
      <w:r>
        <w:rPr>
          <w:rFonts w:hint="eastAsia" w:ascii="仿宋_GB2312" w:eastAsia="仿宋_GB2312"/>
          <w:sz w:val="32"/>
          <w:szCs w:val="32"/>
          <w:highlight w:val="none"/>
        </w:rPr>
        <w:br w:type="page"/>
      </w:r>
      <w:bookmarkStart w:id="0" w:name="_Toc24028"/>
      <w:bookmarkStart w:id="1" w:name="_Toc32314"/>
    </w:p>
    <w:bookmarkEnd w:id="0"/>
    <w:bookmarkEnd w:id="1"/>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fldChar w:fldCharType="begin"/>
      </w:r>
      <w:r>
        <w:rPr>
          <w:rFonts w:hint="eastAsia" w:ascii="黑体" w:hAnsi="黑体" w:eastAsia="黑体"/>
          <w:sz w:val="32"/>
          <w:szCs w:val="32"/>
          <w:highlight w:val="none"/>
        </w:rPr>
        <w:instrText xml:space="preserve"> HYPERLINK \l _Toc32314 </w:instrText>
      </w:r>
      <w:r>
        <w:rPr>
          <w:rFonts w:hint="eastAsia" w:ascii="黑体" w:hAnsi="黑体" w:eastAsia="黑体"/>
          <w:sz w:val="32"/>
          <w:szCs w:val="32"/>
          <w:highlight w:val="none"/>
        </w:rPr>
        <w:fldChar w:fldCharType="separate"/>
      </w: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bookmarkStart w:id="54" w:name="_GoBack"/>
      <w:bookmarkEnd w:id="54"/>
      <w:r>
        <w:rPr>
          <w:rFonts w:hint="eastAsia" w:ascii="黑体" w:hAnsi="黑体" w:eastAsia="黑体"/>
          <w:sz w:val="32"/>
          <w:szCs w:val="32"/>
          <w:highlight w:val="none"/>
        </w:rPr>
        <w:t>概况</w:t>
      </w:r>
      <w:r>
        <w:rPr>
          <w:rFonts w:hint="eastAsia" w:ascii="黑体" w:hAnsi="黑体" w:eastAsia="黑体"/>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widowControl/>
        <w:spacing w:line="540" w:lineRule="exact"/>
        <w:ind w:firstLine="640" w:firstLineChars="200"/>
        <w:jc w:val="left"/>
        <w:rPr>
          <w:rFonts w:ascii="仿宋_GB2312" w:hAnsi="宋体" w:eastAsia="仿宋_GB2312" w:cs="宋体"/>
          <w:bCs/>
          <w:kern w:val="0"/>
          <w:sz w:val="32"/>
          <w:szCs w:val="32"/>
          <w:highlight w:val="none"/>
        </w:rPr>
      </w:pPr>
      <w:r>
        <w:rPr>
          <w:rFonts w:hint="eastAsia" w:ascii="仿宋_GB2312" w:hAnsi="宋体" w:eastAsia="仿宋_GB2312" w:cs="宋体"/>
          <w:kern w:val="0"/>
          <w:sz w:val="32"/>
          <w:szCs w:val="32"/>
          <w:highlight w:val="none"/>
          <w:lang w:eastAsia="zh-CN"/>
        </w:rPr>
        <w:t>乌鲁木齐经济技术开发区</w:t>
      </w:r>
      <w:r>
        <w:rPr>
          <w:rFonts w:hint="eastAsia" w:ascii="仿宋_GB2312" w:hAnsi="宋体" w:eastAsia="仿宋_GB2312" w:cs="宋体"/>
          <w:kern w:val="0"/>
          <w:sz w:val="32"/>
          <w:szCs w:val="32"/>
          <w:highlight w:val="none"/>
        </w:rPr>
        <w:t>（头屯河区）第二人民医院，位于新疆乌鲁木齐市经济技术开发区（头屯河区）魏户滩路51号，是一所集医疗、教学、急救、预防、康复为一体的综合性医疗机构。医院1951年建院，为二级甲等医院、爱婴医院、自治区级文明单位，是自治区医保、</w:t>
      </w:r>
      <w:r>
        <w:rPr>
          <w:rFonts w:hint="eastAsia" w:ascii="仿宋_GB2312" w:hAnsi="黑体" w:eastAsia="仿宋_GB2312" w:cs="宋体"/>
          <w:bCs/>
          <w:kern w:val="0"/>
          <w:sz w:val="32"/>
          <w:szCs w:val="32"/>
          <w:highlight w:val="none"/>
        </w:rPr>
        <w:t>乌鲁木齐市医保、兵团十二师医保、各保险公司的定点医疗机构。能为自治区、乌市及辖区内人民身体健康提供医疗、护理、健康</w:t>
      </w:r>
      <w:r>
        <w:rPr>
          <w:rFonts w:hint="eastAsia" w:ascii="仿宋_GB2312" w:hAnsi="黑体" w:eastAsia="仿宋_GB2312" w:cs="宋体"/>
          <w:bCs/>
          <w:kern w:val="0"/>
          <w:sz w:val="32"/>
          <w:szCs w:val="32"/>
          <w:highlight w:val="none"/>
          <w:lang w:val="en-US" w:eastAsia="zh-CN"/>
        </w:rPr>
        <w:t>指导</w:t>
      </w:r>
      <w:r>
        <w:rPr>
          <w:rFonts w:hint="eastAsia" w:ascii="仿宋_GB2312" w:hAnsi="黑体" w:eastAsia="仿宋_GB2312" w:cs="宋体"/>
          <w:bCs/>
          <w:kern w:val="0"/>
          <w:sz w:val="32"/>
          <w:szCs w:val="32"/>
          <w:highlight w:val="none"/>
        </w:rPr>
        <w:t>服务，承担灾害事故的紧急救援及院前急救任务，支持和指导所辖社区卫生服务中心的医疗、护理、康复等工作。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 w:name="_Toc31238"/>
      <w:bookmarkStart w:id="5" w:name="_Toc2151"/>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widowControl/>
        <w:spacing w:line="54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乌鲁木齐经济技术</w:t>
      </w:r>
      <w:r>
        <w:rPr>
          <w:rFonts w:hint="eastAsia" w:ascii="仿宋_GB2312" w:hAnsi="宋体" w:eastAsia="仿宋_GB2312" w:cs="宋体"/>
          <w:kern w:val="0"/>
          <w:sz w:val="32"/>
          <w:szCs w:val="32"/>
          <w:highlight w:val="none"/>
        </w:rPr>
        <w:t>经开区（头屯河区）第二人民医院</w:t>
      </w:r>
      <w:r>
        <w:rPr>
          <w:rFonts w:hint="eastAsia" w:ascii="仿宋_GB2312" w:hAnsi="宋体" w:eastAsia="仿宋_GB2312" w:cs="宋体"/>
          <w:kern w:val="0"/>
          <w:sz w:val="32"/>
          <w:szCs w:val="32"/>
          <w:highlight w:val="none"/>
          <w:lang w:val="en-US" w:eastAsia="zh-CN"/>
        </w:rPr>
        <w:t>2022</w:t>
      </w:r>
      <w:r>
        <w:rPr>
          <w:rFonts w:hint="eastAsia" w:ascii="仿宋_GB2312" w:hAnsi="宋体" w:eastAsia="仿宋_GB2312" w:cs="宋体"/>
          <w:kern w:val="0"/>
          <w:sz w:val="32"/>
          <w:szCs w:val="32"/>
          <w:highlight w:val="none"/>
          <w:lang w:eastAsia="zh-CN"/>
        </w:rPr>
        <w:t>年度，</w:t>
      </w:r>
      <w:r>
        <w:rPr>
          <w:rFonts w:hint="eastAsia" w:ascii="仿宋_GB2312" w:hAnsi="宋体" w:eastAsia="仿宋_GB2312" w:cs="宋体"/>
          <w:kern w:val="0"/>
          <w:sz w:val="32"/>
          <w:szCs w:val="32"/>
          <w:highlight w:val="none"/>
        </w:rPr>
        <w:t>实有人数</w:t>
      </w:r>
      <w:r>
        <w:rPr>
          <w:rFonts w:hint="eastAsia" w:ascii="仿宋_GB2312" w:hAnsi="宋体" w:eastAsia="仿宋_GB2312" w:cs="宋体"/>
          <w:kern w:val="0"/>
          <w:sz w:val="32"/>
          <w:szCs w:val="32"/>
          <w:highlight w:val="none"/>
          <w:lang w:val="en-US" w:eastAsia="zh-CN"/>
        </w:rPr>
        <w:t>620</w:t>
      </w:r>
      <w:r>
        <w:rPr>
          <w:rFonts w:hint="eastAsia" w:ascii="仿宋_GB2312" w:hAnsi="宋体" w:eastAsia="仿宋_GB2312" w:cs="宋体"/>
          <w:kern w:val="0"/>
          <w:sz w:val="32"/>
          <w:szCs w:val="32"/>
          <w:highlight w:val="none"/>
        </w:rPr>
        <w:t>人，其中：在职人员</w:t>
      </w:r>
      <w:r>
        <w:rPr>
          <w:rFonts w:hint="eastAsia" w:ascii="仿宋_GB2312" w:hAnsi="宋体" w:eastAsia="仿宋_GB2312" w:cs="宋体"/>
          <w:kern w:val="0"/>
          <w:sz w:val="32"/>
          <w:szCs w:val="32"/>
          <w:highlight w:val="none"/>
          <w:lang w:val="en-US" w:eastAsia="zh-CN"/>
        </w:rPr>
        <w:t>347</w:t>
      </w:r>
      <w:r>
        <w:rPr>
          <w:rFonts w:hint="eastAsia" w:ascii="仿宋_GB2312" w:hAnsi="宋体" w:eastAsia="仿宋_GB2312" w:cs="宋体"/>
          <w:kern w:val="0"/>
          <w:sz w:val="32"/>
          <w:szCs w:val="32"/>
          <w:highlight w:val="none"/>
        </w:rPr>
        <w:t>人</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离休人员</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人，退休人员</w:t>
      </w:r>
      <w:r>
        <w:rPr>
          <w:rFonts w:hint="eastAsia" w:ascii="仿宋_GB2312" w:hAnsi="宋体" w:eastAsia="仿宋_GB2312" w:cs="宋体"/>
          <w:kern w:val="0"/>
          <w:sz w:val="32"/>
          <w:szCs w:val="32"/>
          <w:highlight w:val="none"/>
          <w:lang w:val="en-US" w:eastAsia="zh-CN"/>
        </w:rPr>
        <w:t>273</w:t>
      </w:r>
      <w:r>
        <w:rPr>
          <w:rFonts w:hint="eastAsia" w:ascii="仿宋_GB2312" w:hAnsi="宋体" w:eastAsia="仿宋_GB2312" w:cs="宋体"/>
          <w:kern w:val="0"/>
          <w:sz w:val="32"/>
          <w:szCs w:val="32"/>
          <w:highlight w:val="none"/>
        </w:rPr>
        <w:t>人。</w:t>
      </w:r>
    </w:p>
    <w:p>
      <w:pPr>
        <w:widowControl/>
        <w:spacing w:line="54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从</w:t>
      </w:r>
      <w:r>
        <w:rPr>
          <w:rFonts w:hint="eastAsia" w:ascii="仿宋_GB2312" w:hAnsi="宋体" w:eastAsia="仿宋_GB2312" w:cs="宋体"/>
          <w:kern w:val="0"/>
          <w:sz w:val="32"/>
          <w:szCs w:val="32"/>
          <w:highlight w:val="none"/>
          <w:lang w:eastAsia="zh-CN"/>
        </w:rPr>
        <w:t>部门</w:t>
      </w:r>
      <w:r>
        <w:rPr>
          <w:rFonts w:hint="eastAsia" w:ascii="仿宋_GB2312" w:hAnsi="宋体" w:eastAsia="仿宋_GB2312" w:cs="宋体"/>
          <w:kern w:val="0"/>
          <w:sz w:val="32"/>
          <w:szCs w:val="32"/>
          <w:highlight w:val="none"/>
        </w:rPr>
        <w:t>决算单位构成看，</w:t>
      </w:r>
      <w:r>
        <w:rPr>
          <w:rFonts w:hint="eastAsia" w:ascii="仿宋_GB2312" w:hAnsi="宋体" w:eastAsia="仿宋_GB2312" w:cs="宋体"/>
          <w:kern w:val="0"/>
          <w:sz w:val="32"/>
          <w:szCs w:val="32"/>
          <w:highlight w:val="none"/>
          <w:lang w:eastAsia="zh-CN"/>
        </w:rPr>
        <w:t>乌鲁木齐经济技术开发区（头屯河区）第二人民医院</w:t>
      </w:r>
      <w:r>
        <w:rPr>
          <w:rFonts w:hint="eastAsia" w:ascii="仿宋_GB2312" w:hAnsi="宋体" w:eastAsia="仿宋_GB2312" w:cs="宋体"/>
          <w:kern w:val="0"/>
          <w:sz w:val="32"/>
          <w:szCs w:val="32"/>
          <w:highlight w:val="none"/>
        </w:rPr>
        <w:t>部门决算包括：</w:t>
      </w:r>
      <w:r>
        <w:rPr>
          <w:rFonts w:hint="eastAsia" w:ascii="仿宋_GB2312" w:hAnsi="宋体" w:eastAsia="仿宋_GB2312" w:cs="宋体"/>
          <w:kern w:val="0"/>
          <w:sz w:val="32"/>
          <w:szCs w:val="32"/>
          <w:highlight w:val="none"/>
          <w:lang w:eastAsia="zh-CN"/>
        </w:rPr>
        <w:t>乌鲁木齐经济技术开发区（头屯河区）第二人民医院</w:t>
      </w:r>
      <w:r>
        <w:rPr>
          <w:rFonts w:hint="eastAsia" w:ascii="仿宋_GB2312" w:hAnsi="宋体" w:eastAsia="仿宋_GB2312" w:cs="宋体"/>
          <w:kern w:val="0"/>
          <w:sz w:val="32"/>
          <w:szCs w:val="32"/>
          <w:highlight w:val="none"/>
        </w:rPr>
        <w:t>决算</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单位无下属预算单位，下设</w:t>
      </w:r>
      <w:r>
        <w:rPr>
          <w:rFonts w:hint="eastAsia" w:ascii="仿宋_GB2312" w:hAnsi="宋体" w:eastAsia="仿宋_GB2312" w:cs="宋体"/>
          <w:kern w:val="0"/>
          <w:sz w:val="32"/>
          <w:szCs w:val="32"/>
          <w:highlight w:val="none"/>
          <w:lang w:val="en-US" w:eastAsia="zh-CN"/>
        </w:rPr>
        <w:t>29</w:t>
      </w:r>
      <w:r>
        <w:rPr>
          <w:rFonts w:hint="eastAsia" w:ascii="仿宋_GB2312" w:hAnsi="宋体" w:eastAsia="仿宋_GB2312" w:cs="宋体"/>
          <w:kern w:val="0"/>
          <w:sz w:val="32"/>
          <w:szCs w:val="32"/>
          <w:highlight w:val="none"/>
        </w:rPr>
        <w:t>个</w:t>
      </w:r>
      <w:r>
        <w:rPr>
          <w:rFonts w:hint="eastAsia" w:ascii="仿宋_GB2312" w:hAnsi="宋体" w:eastAsia="仿宋_GB2312" w:cs="宋体"/>
          <w:kern w:val="0"/>
          <w:sz w:val="32"/>
          <w:szCs w:val="32"/>
          <w:highlight w:val="none"/>
          <w:lang w:eastAsia="zh-CN"/>
        </w:rPr>
        <w:t>科</w:t>
      </w:r>
      <w:r>
        <w:rPr>
          <w:rFonts w:hint="eastAsia" w:ascii="仿宋_GB2312" w:hAnsi="宋体" w:eastAsia="仿宋_GB2312" w:cs="宋体"/>
          <w:kern w:val="0"/>
          <w:sz w:val="32"/>
          <w:szCs w:val="32"/>
          <w:highlight w:val="none"/>
        </w:rPr>
        <w:t>室，分别是：内一科、内二科、普外科、骨外科、妇产科、五官科、儿科、中医康复科、ICU、手术麻醉科、体检中心、急诊科、</w:t>
      </w:r>
      <w:r>
        <w:rPr>
          <w:rFonts w:hint="eastAsia" w:ascii="仿宋_GB2312" w:hAnsi="宋体" w:eastAsia="仿宋_GB2312" w:cs="宋体"/>
          <w:kern w:val="0"/>
          <w:sz w:val="32"/>
          <w:szCs w:val="32"/>
          <w:highlight w:val="none"/>
          <w:lang w:eastAsia="zh-CN"/>
        </w:rPr>
        <w:t>发热门诊、一</w:t>
      </w:r>
      <w:r>
        <w:rPr>
          <w:rFonts w:hint="eastAsia" w:ascii="仿宋_GB2312" w:hAnsi="宋体" w:eastAsia="仿宋_GB2312" w:cs="宋体"/>
          <w:kern w:val="0"/>
          <w:sz w:val="32"/>
          <w:szCs w:val="32"/>
          <w:highlight w:val="none"/>
        </w:rPr>
        <w:t>门诊、柯坪北路社区卫生服务中心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影像科、药剂科、检验病理科</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综合办、医务办、护理部、财务科、医保办、服务中心、保卫科、公卫科、信息科、绩效办、院感办。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29374"/>
      <w:bookmarkStart w:id="7" w:name="_Toc3092"/>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13605.10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其中：本年收入合计13605.10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2593.44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16.01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年因疫情原因单位小区累计封闭长达5个月之久，事业收入减少1333.63万元；2021年因疫情需要财政拨付601万元用于购买方舱CT、PCR实验室和发热门诊改造，2022年无此项财政项目拨款收入,收入减少601万元，2022年综合改革补助资金拨款收入较2021年增加12万元，财政项目拨款收入总共减少589万元；由于2022年在编人员减少加之社保缴费基数下调，财政基本拨款收入减少209.81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总计13605.10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其中：本年支出合计13586.04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结余分配19.06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2593.44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16.01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因疫情封闭，药品耗材等需求量下降、各项支出减少</w:t>
      </w:r>
      <w:r>
        <w:rPr>
          <w:rFonts w:hint="eastAsia" w:ascii="仿宋_GB2312" w:eastAsia="仿宋_GB2312"/>
          <w:sz w:val="32"/>
          <w:szCs w:val="32"/>
          <w:highlight w:val="none"/>
          <w:lang w:val="en-US" w:eastAsia="zh-CN"/>
        </w:rPr>
        <w:t>，基本支出减少1562.50万元；2021年因疫情需要购买方舱CT、PCR实验室及发热门诊改造支出等，2022年无此项支出，项目支出比2021年减少589万元。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13605.10</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3766.63</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27.69</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9838.46</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72.31</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13586.04</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13423.04</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98.80</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163</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1.20</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总计3766.63</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财政拨款本年收入3766.63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1259.81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25.06%</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：严格执行中央八项规定，厉行节约，</w:t>
      </w:r>
      <w:r>
        <w:rPr>
          <w:rFonts w:hint="eastAsia" w:ascii="仿宋_GB2312" w:eastAsia="仿宋_GB2312"/>
          <w:sz w:val="32"/>
          <w:szCs w:val="32"/>
          <w:highlight w:val="none"/>
          <w:lang w:eastAsia="zh-CN"/>
        </w:rPr>
        <w:t>缩减</w:t>
      </w:r>
      <w:r>
        <w:rPr>
          <w:rFonts w:hint="eastAsia" w:ascii="仿宋_GB2312" w:eastAsia="仿宋_GB2312"/>
          <w:sz w:val="32"/>
          <w:szCs w:val="32"/>
          <w:highlight w:val="none"/>
        </w:rPr>
        <w:t>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总计3766.63</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财政拨款本年支出3766.63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1259.81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25.06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2022年人员减少及缴费基数下调致使各类社会保险和住房公积金支出减少；2022年疫情防控支出较去年有所下降。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6194.82</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3766.63</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-39.20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主要原因是：项目支出预算数未执行</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6194.82</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3766.63</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-39.20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主要原因是：项目支出预算数未执行</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3766.63</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27.72</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798.81</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17.50</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z w:val="32"/>
          <w:szCs w:val="32"/>
          <w:highlight w:val="none"/>
          <w:lang w:val="en-US" w:eastAsia="zh-CN"/>
        </w:rPr>
        <w:t>2022年人员减少及缴费基数下调致使各类社会保险和住房公积金支出减少；2022年疫情防控支出较去年有所下降。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社会保障和就医支出(类）</w:t>
      </w:r>
      <w:r>
        <w:rPr>
          <w:rFonts w:hint="eastAsia" w:ascii="仿宋_GB2312" w:eastAsia="仿宋_GB2312"/>
          <w:spacing w:val="0"/>
          <w:sz w:val="32"/>
          <w:szCs w:val="32"/>
          <w:highlight w:val="none"/>
          <w:lang w:val="en-US" w:eastAsia="zh-CN"/>
        </w:rPr>
        <w:t>599.63</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15.92</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sz w:val="32"/>
          <w:szCs w:val="32"/>
          <w:highlight w:val="none"/>
          <w:lang w:val="en-US" w:eastAsia="zh-CN"/>
        </w:rPr>
        <w:t>卫生健康支出（类）</w:t>
      </w:r>
      <w:r>
        <w:rPr>
          <w:rFonts w:hint="eastAsia" w:ascii="仿宋_GB2312" w:hAnsi="仿宋_GB2312" w:eastAsia="仿宋_GB2312" w:cs="仿宋_GB2312"/>
          <w:kern w:val="0"/>
          <w:sz w:val="32"/>
          <w:szCs w:val="32"/>
          <w:highlight w:val="none"/>
          <w:lang w:val="en-US" w:eastAsia="zh-CN"/>
        </w:rPr>
        <w:t>3167万元，占84.08%。</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val="en-US" w:eastAsia="zh-CN"/>
        </w:rPr>
        <w:t>社会保障和就医支出（类）行政事业单位养老支出（款）事业单位离退休（项）：支出决算数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185.52</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140.97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43.18</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2022年4月起停发退休人员区内补助</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社会保障和就医支出（类）行政事业单位养老支出（款）机关事业单位基本养老保险缴费支出（项）：支出决算数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276.03</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133.89</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32.66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社保基数下调所致</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kern w:val="0"/>
          <w:sz w:val="32"/>
          <w:szCs w:val="32"/>
          <w:highlight w:val="none"/>
          <w:lang w:val="en-US" w:eastAsia="zh-CN"/>
        </w:rPr>
        <w:t>3社会保障和就医支出（类）行政事业单位养老支出（款）机关事业单位职业年金缴费支出（项）：支出决算数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138.07</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278.54</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66.86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社保基数下调所致。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卫生健康支出（类）公立医院（款）综合医院（项）：支出决算数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3004</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343.58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增长</w:t>
      </w:r>
      <w:r>
        <w:rPr>
          <w:rFonts w:hint="eastAsia" w:ascii="仿宋_GB2312" w:hAnsi="仿宋_GB2312" w:eastAsia="仿宋_GB2312" w:cs="仿宋_GB2312"/>
          <w:kern w:val="0"/>
          <w:sz w:val="32"/>
          <w:szCs w:val="32"/>
          <w:highlight w:val="none"/>
          <w:lang w:val="en-US" w:eastAsia="zh-CN"/>
        </w:rPr>
        <w:t>12.91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经济支出项目调整</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卫生健康支出（类）公立医院（款）其他公立医院支出（项）：支出决算数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140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7.28</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公立医院综合改革补助资金</w:t>
      </w:r>
      <w:r>
        <w:rPr>
          <w:rFonts w:hint="eastAsia" w:ascii="仿宋_GB2312" w:hAnsi="仿宋_GB2312" w:eastAsia="仿宋_GB2312" w:cs="仿宋_GB2312"/>
          <w:kern w:val="0"/>
          <w:sz w:val="32"/>
          <w:szCs w:val="32"/>
          <w:highlight w:val="none"/>
          <w:lang w:val="en-US" w:eastAsia="zh-CN"/>
        </w:rPr>
        <w:t>拨付减少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卫生健康支出（类）公共卫生（款）基本公共卫生服务（项）：支出决算数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2022年职业病防治支出增加</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7.卫生健康支出(类)公共卫生(款)突发公共卫生事件应急处理(项): 支出决算数为0.00万元，比上年决算减少601.00万元，下降100%,主要原因是：疫情防控资金支出减少。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30870"/>
      <w:bookmarkStart w:id="19" w:name="_Toc11146"/>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3603.63</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3603.63</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职业年金缴费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退休费、抚恤金。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我单位为差额拨款单位，未安排此项预算财政拨款支出。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21518"/>
      <w:bookmarkStart w:id="21"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主要原因是：我单位为财政差额补助事业单位，财政不安排“三公”经费预算</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主要原因是：我单位无因公出国（境）费</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主要原因是：我单位为财政差额补助事业单位，财政不安排此项预算</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主要原因是：我单位为财政差额补助事业单位，财政不安排此项预算</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eastAsia="zh-CN"/>
        </w:rPr>
        <w:t>我单位为财政差额补助事业单位，财政不安排此项预算</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万元。公务用车运行维护费开支内容包括</w:t>
      </w:r>
      <w:r>
        <w:rPr>
          <w:rFonts w:hint="eastAsia" w:ascii="仿宋_GB2312" w:eastAsia="仿宋_GB2312"/>
          <w:sz w:val="32"/>
          <w:szCs w:val="32"/>
          <w:highlight w:val="none"/>
          <w:lang w:eastAsia="zh-CN"/>
        </w:rPr>
        <w:t>我单位为财政差额补助事业单位，财政不安排此项预算</w:t>
      </w:r>
      <w:r>
        <w:rPr>
          <w:rFonts w:hint="eastAsia" w:ascii="仿宋_GB2312" w:eastAsia="仿宋_GB2312"/>
          <w:sz w:val="32"/>
          <w:szCs w:val="32"/>
          <w:highlight w:val="none"/>
        </w:rPr>
        <w:t>。公务用车购置数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w:t>
      </w:r>
      <w:r>
        <w:rPr>
          <w:rFonts w:hint="eastAsia" w:ascii="仿宋_GB2312" w:eastAsia="仿宋_GB2312"/>
          <w:sz w:val="32"/>
          <w:szCs w:val="32"/>
          <w:highlight w:val="none"/>
          <w:lang w:eastAsia="zh-CN"/>
        </w:rPr>
        <w:t>我单位为财政差额补助事业单位，财政不安排此项预算</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主要原因是：无“三公”经费支出预算</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主要原因是：无因</w:t>
      </w:r>
      <w:r>
        <w:rPr>
          <w:rFonts w:hint="eastAsia" w:ascii="仿宋_GB2312" w:hAnsi="宋体" w:eastAsia="仿宋_GB2312" w:cs="宋体"/>
          <w:kern w:val="0"/>
          <w:sz w:val="32"/>
          <w:szCs w:val="32"/>
          <w:highlight w:val="none"/>
        </w:rPr>
        <w:t>公出国（境）费</w:t>
      </w:r>
      <w:r>
        <w:rPr>
          <w:rFonts w:hint="eastAsia" w:ascii="仿宋_GB2312" w:hAnsi="宋体" w:eastAsia="仿宋_GB2312" w:cs="宋体"/>
          <w:kern w:val="0"/>
          <w:sz w:val="32"/>
          <w:szCs w:val="32"/>
          <w:highlight w:val="none"/>
          <w:lang w:val="en-US" w:eastAsia="zh-CN"/>
        </w:rPr>
        <w:t>预算</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费预算；</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hAnsi="宋体" w:eastAsia="仿宋_GB2312" w:cs="宋体"/>
          <w:kern w:val="0"/>
          <w:sz w:val="32"/>
          <w:szCs w:val="32"/>
          <w:highlight w:val="none"/>
        </w:rPr>
        <w:t>公务用车运行费</w:t>
      </w:r>
      <w:r>
        <w:rPr>
          <w:rFonts w:hint="eastAsia" w:ascii="仿宋_GB2312" w:eastAsia="仿宋_GB2312"/>
          <w:sz w:val="32"/>
          <w:szCs w:val="32"/>
          <w:highlight w:val="none"/>
        </w:rPr>
        <w:t>预算；</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hAnsi="宋体" w:eastAsia="仿宋_GB2312" w:cs="宋体"/>
          <w:kern w:val="0"/>
          <w:sz w:val="32"/>
          <w:szCs w:val="32"/>
          <w:highlight w:val="none"/>
        </w:rPr>
        <w:t>公务接待费</w:t>
      </w:r>
      <w:r>
        <w:rPr>
          <w:rFonts w:hint="eastAsia" w:ascii="仿宋_GB2312" w:eastAsia="仿宋_GB2312"/>
          <w:sz w:val="32"/>
          <w:szCs w:val="32"/>
          <w:highlight w:val="none"/>
        </w:rPr>
        <w:t>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7927"/>
      <w:bookmarkStart w:id="23" w:name="_Toc5810"/>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仿宋_GB2312" w:eastAsia="仿宋_GB2312"/>
          <w:b/>
          <w:bCs/>
          <w:color w:val="FF0000"/>
          <w:sz w:val="32"/>
          <w:szCs w:val="32"/>
          <w:highlight w:val="none"/>
          <w:lang w:val="en-US" w:eastAsia="zh-CN"/>
        </w:rPr>
        <w:t xml:space="preserve"> </w:t>
      </w: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3105"/>
      <w:bookmarkStart w:id="27" w:name="_Toc14519"/>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乌鲁木齐经济技术开发区（头屯河区）第二人民医院</w:t>
      </w:r>
      <w:r>
        <w:rPr>
          <w:rFonts w:hint="eastAsia" w:ascii="仿宋_GB2312" w:eastAsia="仿宋_GB2312"/>
          <w:sz w:val="32"/>
          <w:szCs w:val="32"/>
          <w:highlight w:val="none"/>
        </w:rPr>
        <w:t>单位（事业单位）</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：我单位为差额拨款单位，公用经费自收自支，财政年初未安排机关运行经费支出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819.50</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819.50</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819.50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819.50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8391"/>
      <w:bookmarkStart w:id="31" w:name="_Toc45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9475.38万元，房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56.40</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4.86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161.60</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eastAsia="zh-CN"/>
        </w:rPr>
        <w:t>无其他用车</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19台（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11283"/>
      <w:bookmarkStart w:id="33"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全年预算数163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全年执行数163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w:t>
      </w:r>
      <w:r>
        <w:rPr>
          <w:rFonts w:hint="eastAsia" w:ascii="仿宋_GB2312" w:eastAsia="仿宋_GB2312"/>
          <w:sz w:val="32"/>
          <w:szCs w:val="32"/>
          <w:highlight w:val="none"/>
        </w:rPr>
        <w:t>一是医院药品及卫生材料全部实行了零加成；二是医院发热门诊设备得到保障，能按疫情防控要求提供发热门诊患者就诊服务。发现的问题及原因：一是医院</w:t>
      </w:r>
      <w:r>
        <w:rPr>
          <w:rFonts w:hint="eastAsia" w:ascii="仿宋_GB2312" w:eastAsia="仿宋_GB2312"/>
          <w:sz w:val="32"/>
          <w:szCs w:val="32"/>
          <w:highlight w:val="none"/>
          <w:lang w:eastAsia="zh-CN"/>
        </w:rPr>
        <w:t>医疗</w:t>
      </w:r>
      <w:r>
        <w:rPr>
          <w:rFonts w:hint="eastAsia" w:ascii="仿宋_GB2312" w:eastAsia="仿宋_GB2312"/>
          <w:sz w:val="32"/>
          <w:szCs w:val="32"/>
          <w:highlight w:val="none"/>
        </w:rPr>
        <w:t>收入结构</w:t>
      </w:r>
      <w:r>
        <w:rPr>
          <w:rFonts w:hint="eastAsia" w:ascii="仿宋_GB2312" w:eastAsia="仿宋_GB2312"/>
          <w:sz w:val="32"/>
          <w:szCs w:val="32"/>
          <w:highlight w:val="none"/>
          <w:lang w:eastAsia="zh-CN"/>
        </w:rPr>
        <w:t>不太合理，服务性收入占比较低、</w:t>
      </w:r>
      <w:r>
        <w:rPr>
          <w:rFonts w:hint="eastAsia" w:ascii="仿宋_GB2312" w:eastAsia="仿宋_GB2312"/>
          <w:sz w:val="32"/>
          <w:szCs w:val="32"/>
          <w:highlight w:val="none"/>
        </w:rPr>
        <w:t>药品收入占比较高；二是医院的医疗质量及工作量还有待继续提升。下一步改进措施：一是加快公立医院改革，优化收入结构；二是加强药品管理，</w:t>
      </w:r>
      <w:r>
        <w:rPr>
          <w:rFonts w:hint="eastAsia" w:ascii="仿宋_GB2312" w:eastAsia="仿宋_GB2312"/>
          <w:sz w:val="32"/>
          <w:szCs w:val="32"/>
          <w:highlight w:val="none"/>
          <w:lang w:eastAsia="zh-CN"/>
        </w:rPr>
        <w:t>加大集采药品和基本药物采购力度，</w:t>
      </w:r>
      <w:r>
        <w:rPr>
          <w:rFonts w:hint="eastAsia" w:ascii="仿宋_GB2312" w:eastAsia="仿宋_GB2312"/>
          <w:sz w:val="32"/>
          <w:szCs w:val="32"/>
          <w:highlight w:val="none"/>
        </w:rPr>
        <w:t>合理用药和使用抗菌素。具体项目自评情况附项目支出绩效自评表。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4" w:name="_Toc3250"/>
      <w:bookmarkStart w:id="35" w:name="_Toc241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object>
          <v:shape id="_x0000_i1025" o:spt="75" type="#_x0000_t75" style="height:670.75pt;width:446.95pt;" o:ole="t" filled="f" o:preferrelative="t" stroked="f" coordsize="21600,21600">
            <v:path/>
            <v:fill on="f" focussize="0,0"/>
            <v:stroke on="f"/>
            <v:imagedata r:id="rId6" o:title=""/>
            <o:lock v:ext="edit" aspectratio="f"/>
            <w10:wrap type="none"/>
            <w10:anchorlock/>
          </v:shape>
          <o:OLEObject Type="Embed" ProgID="Excel.Sheet.12"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object>
          <v:shape id="_x0000_i1026" o:spt="75" type="#_x0000_t75" style="height:691.95pt;width:414.9pt;" o:ole="t" filled="f" o:preferrelative="t" stroked="f" coordsize="21600,21600">
            <v:path/>
            <v:fill on="f" focussize="0,0"/>
            <v:stroke on="f"/>
            <v:imagedata r:id="rId8" o:title=""/>
            <o:lock v:ext="edit" aspectratio="f"/>
            <w10:wrap type="none"/>
            <w10:anchorlock/>
          </v:shape>
          <o:OLEObject Type="Embed" ProgID="Excel.Sheet.12" ShapeID="_x0000_i1026" DrawAspect="Content" ObjectID="_1468075726" r:id="rId7">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434"/>
      <w:bookmarkStart w:id="43" w:name="_Toc2130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28786"/>
      <w:bookmarkStart w:id="45" w:name="_Toc14238"/>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MTBmMzE4NDhmZWM4YmY5NjNhYmFhYWZjYzVhNTQifQ=="/>
  </w:docVars>
  <w:rsids>
    <w:rsidRoot w:val="00000000"/>
    <w:rsid w:val="01155C6F"/>
    <w:rsid w:val="01345CD4"/>
    <w:rsid w:val="029E593C"/>
    <w:rsid w:val="02F73D26"/>
    <w:rsid w:val="034D4FEF"/>
    <w:rsid w:val="04363C0A"/>
    <w:rsid w:val="043E5B56"/>
    <w:rsid w:val="050214AE"/>
    <w:rsid w:val="05502988"/>
    <w:rsid w:val="05EE58BA"/>
    <w:rsid w:val="06792773"/>
    <w:rsid w:val="0A7B4867"/>
    <w:rsid w:val="0B521BE6"/>
    <w:rsid w:val="0B8C3ECC"/>
    <w:rsid w:val="0C7227A7"/>
    <w:rsid w:val="0D745A4B"/>
    <w:rsid w:val="103D1A07"/>
    <w:rsid w:val="10E072B6"/>
    <w:rsid w:val="13361C81"/>
    <w:rsid w:val="16E06D94"/>
    <w:rsid w:val="18BD1C8B"/>
    <w:rsid w:val="1B2F7588"/>
    <w:rsid w:val="1B3408D8"/>
    <w:rsid w:val="1D982FEC"/>
    <w:rsid w:val="1DAF458D"/>
    <w:rsid w:val="20DD6197"/>
    <w:rsid w:val="23BC04D2"/>
    <w:rsid w:val="260327C7"/>
    <w:rsid w:val="27CF2642"/>
    <w:rsid w:val="2A053397"/>
    <w:rsid w:val="2A9C00FA"/>
    <w:rsid w:val="2B7E2E21"/>
    <w:rsid w:val="2BB56928"/>
    <w:rsid w:val="2C9B044B"/>
    <w:rsid w:val="2D1136DF"/>
    <w:rsid w:val="2DAC7616"/>
    <w:rsid w:val="2FD27414"/>
    <w:rsid w:val="318F3867"/>
    <w:rsid w:val="31C63837"/>
    <w:rsid w:val="338E12C2"/>
    <w:rsid w:val="33A80F80"/>
    <w:rsid w:val="3586569E"/>
    <w:rsid w:val="37B26BF6"/>
    <w:rsid w:val="38FA48CD"/>
    <w:rsid w:val="3914510A"/>
    <w:rsid w:val="39F26AC3"/>
    <w:rsid w:val="3BB01CBE"/>
    <w:rsid w:val="3D5275AC"/>
    <w:rsid w:val="3F78561B"/>
    <w:rsid w:val="40834692"/>
    <w:rsid w:val="44D92FD4"/>
    <w:rsid w:val="46901EEE"/>
    <w:rsid w:val="469C74D2"/>
    <w:rsid w:val="477C7F5E"/>
    <w:rsid w:val="4A4924A9"/>
    <w:rsid w:val="4AFB272A"/>
    <w:rsid w:val="4B4C0111"/>
    <w:rsid w:val="4D023C02"/>
    <w:rsid w:val="4DB9147C"/>
    <w:rsid w:val="4E3917D8"/>
    <w:rsid w:val="50DB5F45"/>
    <w:rsid w:val="51B61BC1"/>
    <w:rsid w:val="51CB440B"/>
    <w:rsid w:val="52F92565"/>
    <w:rsid w:val="583059FA"/>
    <w:rsid w:val="59103EC9"/>
    <w:rsid w:val="59511FD5"/>
    <w:rsid w:val="5BA80D3E"/>
    <w:rsid w:val="5FA17648"/>
    <w:rsid w:val="61A46A97"/>
    <w:rsid w:val="62DD7D21"/>
    <w:rsid w:val="65D97752"/>
    <w:rsid w:val="687F5BE1"/>
    <w:rsid w:val="68DB0208"/>
    <w:rsid w:val="69846A0E"/>
    <w:rsid w:val="69AD798C"/>
    <w:rsid w:val="6B68175F"/>
    <w:rsid w:val="6CEF281F"/>
    <w:rsid w:val="6DF606F4"/>
    <w:rsid w:val="6E0F7A08"/>
    <w:rsid w:val="705F2D16"/>
    <w:rsid w:val="71473612"/>
    <w:rsid w:val="716274AC"/>
    <w:rsid w:val="71791C2D"/>
    <w:rsid w:val="718F7F65"/>
    <w:rsid w:val="71B10F8D"/>
    <w:rsid w:val="73FB6630"/>
    <w:rsid w:val="74E76DCD"/>
    <w:rsid w:val="77ED6F44"/>
    <w:rsid w:val="78765FD6"/>
    <w:rsid w:val="79E971EA"/>
    <w:rsid w:val="7C7E745F"/>
    <w:rsid w:val="7E5F0E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uiPriority w:val="0"/>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styleId="13">
    <w:name w:val="No Spacing"/>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5598</Words>
  <Characters>5642</Characters>
  <Lines>0</Lines>
  <Paragraphs>0</Paragraphs>
  <TotalTime>92</TotalTime>
  <ScaleCrop>false</ScaleCrop>
  <LinksUpToDate>false</LinksUpToDate>
  <CharactersWithSpaces>5662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黄小丽</cp:lastModifiedBy>
  <cp:lastPrinted>2023-10-13T06:51:00Z</cp:lastPrinted>
  <dcterms:modified xsi:type="dcterms:W3CDTF">2023-12-04T04:09:35Z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565FC09EE9CD4FB2B441DBEF81DA3181_13</vt:lpwstr>
  </property>
</Properties>
</file>